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8899"/>
      </w:tblGrid>
      <w:tr w:rsidR="004B5BB0" w:rsidRPr="00562931" w:rsidTr="00160F71">
        <w:trPr>
          <w:trHeight w:val="1290"/>
          <w:jc w:val="center"/>
        </w:trPr>
        <w:tc>
          <w:tcPr>
            <w:tcW w:w="1307" w:type="dxa"/>
            <w:shd w:val="clear" w:color="auto" w:fill="2E74B5" w:themeFill="accent5" w:themeFillShade="BF"/>
            <w:vAlign w:val="center"/>
          </w:tcPr>
          <w:p w:rsidR="004B5BB0" w:rsidRPr="00562931" w:rsidRDefault="004B5BB0" w:rsidP="004B5BB0">
            <w:pPr>
              <w:spacing w:line="440" w:lineRule="exact"/>
              <w:rPr>
                <w:rFonts w:ascii="Arial Rounded MT Bold" w:eastAsia="楷体" w:hAnsi="Arial Rounded MT Bold"/>
                <w:b/>
                <w:color w:val="FFFFFF" w:themeColor="background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49FCD3A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-20320</wp:posOffset>
                  </wp:positionV>
                  <wp:extent cx="755650" cy="531495"/>
                  <wp:effectExtent l="0" t="0" r="6350" b="1905"/>
                  <wp:wrapNone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531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899" w:type="dxa"/>
            <w:shd w:val="clear" w:color="auto" w:fill="2E74B5" w:themeFill="accent5" w:themeFillShade="BF"/>
            <w:vAlign w:val="center"/>
          </w:tcPr>
          <w:p w:rsidR="00BF2A7C" w:rsidRPr="00BF2A7C" w:rsidRDefault="004B5BB0" w:rsidP="00BF2A7C">
            <w:pPr>
              <w:spacing w:line="440" w:lineRule="exact"/>
              <w:jc w:val="center"/>
              <w:rPr>
                <w:rFonts w:ascii="黑体" w:eastAsia="黑体" w:hAnsi="黑体"/>
                <w:color w:val="FFFFFF" w:themeColor="background1"/>
                <w:sz w:val="36"/>
                <w:szCs w:val="36"/>
              </w:rPr>
            </w:pPr>
            <w:r w:rsidRPr="00BF2A7C">
              <w:rPr>
                <w:rFonts w:ascii="黑体" w:eastAsia="黑体" w:hAnsi="黑体" w:hint="eastAsia"/>
                <w:color w:val="FFFFFF" w:themeColor="background1"/>
                <w:sz w:val="36"/>
                <w:szCs w:val="36"/>
              </w:rPr>
              <w:t>华 威 大 学（伦 敦）暑 期 学 分 项 目</w:t>
            </w:r>
            <w:r w:rsidR="00BF2A7C" w:rsidRPr="00BF2A7C">
              <w:rPr>
                <w:rFonts w:ascii="黑体" w:eastAsia="黑体" w:hAnsi="黑体" w:hint="eastAsia"/>
                <w:color w:val="FFFFFF" w:themeColor="background1"/>
                <w:sz w:val="36"/>
                <w:szCs w:val="36"/>
              </w:rPr>
              <w:t>+牛津大学</w:t>
            </w:r>
          </w:p>
          <w:p w:rsidR="004B5BB0" w:rsidRPr="00BF2A7C" w:rsidRDefault="004B5BB0" w:rsidP="00BF2A7C">
            <w:pPr>
              <w:spacing w:line="440" w:lineRule="exact"/>
              <w:jc w:val="center"/>
              <w:rPr>
                <w:rFonts w:ascii="黑体" w:eastAsia="黑体" w:hAnsi="黑体"/>
                <w:color w:val="FFFFFF" w:themeColor="background1"/>
                <w:sz w:val="28"/>
                <w:szCs w:val="28"/>
              </w:rPr>
            </w:pPr>
          </w:p>
        </w:tc>
      </w:tr>
      <w:tr w:rsidR="00EF5520" w:rsidTr="00160F71">
        <w:trPr>
          <w:trHeight w:val="3374"/>
          <w:jc w:val="center"/>
        </w:trPr>
        <w:tc>
          <w:tcPr>
            <w:tcW w:w="10206" w:type="dxa"/>
            <w:gridSpan w:val="2"/>
            <w:vAlign w:val="center"/>
          </w:tcPr>
          <w:p w:rsidR="00EF5520" w:rsidRPr="004B5BB0" w:rsidRDefault="00160F71" w:rsidP="00160F71">
            <w:pPr>
              <w:spacing w:line="0" w:lineRule="atLeast"/>
              <w:jc w:val="both"/>
              <w:rPr>
                <w:sz w:val="10"/>
                <w:szCs w:val="10"/>
              </w:rPr>
            </w:pPr>
            <w:r w:rsidRPr="00A410FB">
              <w:rPr>
                <w:rFonts w:eastAsia="宋体"/>
                <w:noProof/>
                <w:sz w:val="32"/>
              </w:rPr>
              <w:drawing>
                <wp:anchor distT="0" distB="0" distL="114300" distR="114300" simplePos="0" relativeHeight="251672576" behindDoc="0" locked="0" layoutInCell="1" allowOverlap="1">
                  <wp:simplePos x="609600" y="1371600"/>
                  <wp:positionH relativeFrom="margin">
                    <wp:posOffset>-62230</wp:posOffset>
                  </wp:positionH>
                  <wp:positionV relativeFrom="margin">
                    <wp:posOffset>0</wp:posOffset>
                  </wp:positionV>
                  <wp:extent cx="6470650" cy="2616200"/>
                  <wp:effectExtent l="0" t="0" r="6350" b="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0" cy="261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72410C" w:rsidRPr="004B5BB0" w:rsidRDefault="00EF5520" w:rsidP="00D94C70">
      <w:pPr>
        <w:pStyle w:val="12"/>
        <w:rPr>
          <w:color w:val="7030A0"/>
          <w14:textFill>
            <w14:solidFill>
              <w14:srgbClr w14:val="7030A0">
                <w14:lumMod w14:val="75000"/>
              </w14:srgbClr>
            </w14:solidFill>
          </w14:textFill>
        </w:rPr>
      </w:pPr>
      <w:r w:rsidRPr="004B5BB0">
        <w:rPr>
          <w:rFonts w:hint="eastAsia"/>
        </w:rPr>
        <w:t>项目概述</w:t>
      </w:r>
      <w:r w:rsidRPr="004B5BB0">
        <w:rPr>
          <w:color w:val="7030A0"/>
          <w14:textFill>
            <w14:solidFill>
              <w14:srgbClr w14:val="7030A0">
                <w14:lumMod w14:val="75000"/>
              </w14:srgbClr>
            </w14:solidFill>
          </w14:textFill>
        </w:rPr>
        <w:t xml:space="preserve"> </w:t>
      </w:r>
    </w:p>
    <w:tbl>
      <w:tblPr>
        <w:tblStyle w:val="a8"/>
        <w:tblW w:w="10348" w:type="dxa"/>
        <w:jc w:val="center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9214"/>
      </w:tblGrid>
      <w:tr w:rsidR="00EF5520" w:rsidRPr="004B5BB0" w:rsidTr="00577F07">
        <w:trPr>
          <w:trHeight w:val="737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EF5520" w:rsidRPr="004B5BB0" w:rsidRDefault="00EF5520" w:rsidP="00F96C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项目名称</w:t>
            </w:r>
          </w:p>
        </w:tc>
        <w:tc>
          <w:tcPr>
            <w:tcW w:w="9130" w:type="dxa"/>
            <w:shd w:val="clear" w:color="auto" w:fill="F2F2F2" w:themeFill="background1" w:themeFillShade="F2"/>
            <w:vAlign w:val="center"/>
          </w:tcPr>
          <w:p w:rsidR="009557E0" w:rsidRPr="004B5BB0" w:rsidRDefault="009557E0" w:rsidP="00577F07">
            <w:pPr>
              <w:spacing w:line="240" w:lineRule="auto"/>
              <w:jc w:val="both"/>
              <w:rPr>
                <w:rFonts w:ascii="微软雅黑" w:eastAsia="微软雅黑" w:hAnsi="微软雅黑"/>
                <w:b/>
                <w:color w:val="auto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color w:val="auto"/>
                <w:sz w:val="18"/>
                <w:szCs w:val="18"/>
              </w:rPr>
              <w:t>华 威 大 学（伦 敦）暑 期 学 分 项 目</w:t>
            </w:r>
          </w:p>
          <w:p w:rsidR="00EF5520" w:rsidRPr="004B5BB0" w:rsidRDefault="009557E0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微软雅黑" w:eastAsia="微软雅黑" w:hAnsi="微软雅黑"/>
                <w:sz w:val="18"/>
                <w:szCs w:val="18"/>
              </w:rPr>
            </w:pPr>
            <w:r w:rsidRPr="004B5BB0">
              <w:rPr>
                <w:rFonts w:ascii="微软雅黑" w:eastAsia="微软雅黑" w:hAnsi="微软雅黑"/>
                <w:b/>
                <w:color w:val="auto"/>
                <w:sz w:val="18"/>
                <w:szCs w:val="18"/>
              </w:rPr>
              <w:t>University of Warwick(London) Summer School with Credits Program</w:t>
            </w:r>
          </w:p>
        </w:tc>
      </w:tr>
      <w:tr w:rsidR="0080337A" w:rsidRPr="004B5BB0" w:rsidTr="00577F07">
        <w:trPr>
          <w:trHeight w:hRule="exact" w:val="2041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80337A" w:rsidRPr="004B5BB0" w:rsidRDefault="00143BAC" w:rsidP="00F96C4E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大学简介</w:t>
            </w:r>
          </w:p>
        </w:tc>
        <w:tc>
          <w:tcPr>
            <w:tcW w:w="9130" w:type="dxa"/>
            <w:shd w:val="clear" w:color="auto" w:fill="F2F2F2" w:themeFill="background1" w:themeFillShade="F2"/>
            <w:vAlign w:val="center"/>
          </w:tcPr>
          <w:p w:rsidR="009557E0" w:rsidRPr="004B5BB0" w:rsidRDefault="009557E0" w:rsidP="00577F07">
            <w:pPr>
              <w:jc w:val="both"/>
              <w:rPr>
                <w:rFonts w:ascii="微软雅黑" w:eastAsia="微软雅黑" w:hAnsi="微软雅黑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sz w:val="18"/>
                <w:szCs w:val="18"/>
              </w:rPr>
              <w:t>华威大学（The University of Warwick)是全球百强名校，英国顶尖研究型大学，其在工、商、政、学各界均拥有良好口碑。华威商学院（Warwick Business School，缩写WBS）被誉为英国最顶尖的商学院之一</w:t>
            </w:r>
            <w:r w:rsidR="00E247C7" w:rsidRPr="004B5BB0">
              <w:rPr>
                <w:rFonts w:ascii="微软雅黑" w:eastAsia="微软雅黑" w:hAnsi="微软雅黑" w:hint="eastAsia"/>
                <w:sz w:val="18"/>
                <w:szCs w:val="18"/>
              </w:rPr>
              <w:t>，</w:t>
            </w:r>
            <w:r w:rsidRPr="004B5BB0">
              <w:rPr>
                <w:rFonts w:ascii="微软雅黑" w:eastAsia="微软雅黑" w:hAnsi="微软雅黑" w:hint="eastAsia"/>
                <w:sz w:val="18"/>
                <w:szCs w:val="18"/>
              </w:rPr>
              <w:t>在2017年《金融时报》全球排名中，华威商学院的金融硕士项目超越牛津大学，位列全英第1，世界第9。此外，其传媒、戏剧、经济学、计算机科学等专业名列前茅</w:t>
            </w:r>
            <w:r w:rsidR="00E247C7" w:rsidRPr="004B5BB0">
              <w:rPr>
                <w:rFonts w:ascii="微软雅黑" w:eastAsia="微软雅黑" w:hAnsi="微软雅黑" w:hint="eastAsia"/>
                <w:sz w:val="18"/>
                <w:szCs w:val="18"/>
              </w:rPr>
              <w:t>，</w:t>
            </w:r>
            <w:r w:rsidRPr="004B5BB0">
              <w:rPr>
                <w:rFonts w:ascii="微软雅黑" w:eastAsia="微软雅黑" w:hAnsi="微软雅黑" w:hint="eastAsia"/>
                <w:sz w:val="18"/>
                <w:szCs w:val="18"/>
              </w:rPr>
              <w:t>传媒和戏剧专业多次荣膺英国专业排名第一。</w:t>
            </w:r>
          </w:p>
          <w:p w:rsidR="00057190" w:rsidRPr="004B5BB0" w:rsidRDefault="00057190" w:rsidP="00577F07">
            <w:pPr>
              <w:jc w:val="both"/>
              <w:rPr>
                <w:rFonts w:ascii="微软雅黑" w:eastAsia="微软雅黑" w:hAnsi="微软雅黑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sz w:val="18"/>
                <w:szCs w:val="18"/>
              </w:rPr>
              <w:t>QS世界大学排名中位列</w:t>
            </w:r>
            <w:r w:rsidRPr="004B5BB0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世界第48名，数学世界第13名，经济学世界第21名</w:t>
            </w:r>
            <w:r w:rsidRPr="004B5BB0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</w:tc>
      </w:tr>
      <w:tr w:rsidR="00EF5520" w:rsidRPr="004B5BB0" w:rsidTr="00577F07">
        <w:trPr>
          <w:trHeight w:val="1134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EF5520" w:rsidRPr="004B5BB0" w:rsidRDefault="00EF5520" w:rsidP="00F96C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项目背景</w:t>
            </w:r>
          </w:p>
        </w:tc>
        <w:tc>
          <w:tcPr>
            <w:tcW w:w="9130" w:type="dxa"/>
            <w:shd w:val="clear" w:color="auto" w:fill="F2F2F2" w:themeFill="background1" w:themeFillShade="F2"/>
          </w:tcPr>
          <w:p w:rsidR="00EF5520" w:rsidRPr="004B5BB0" w:rsidRDefault="00E247C7" w:rsidP="00F42C77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华威大学（伦敦）暑期</w:t>
            </w:r>
            <w:r w:rsidR="005C4E14"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学分项目，是</w:t>
            </w:r>
            <w:r w:rsidR="00F23BA4"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由</w:t>
            </w:r>
            <w:r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华威大学（伦敦）</w:t>
            </w:r>
            <w:r w:rsidR="00F23BA4"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官方举办的</w:t>
            </w:r>
            <w:r w:rsidR="00EF5520" w:rsidRPr="004B5BB0">
              <w:rPr>
                <w:rFonts w:ascii="微软雅黑" w:eastAsia="微软雅黑" w:hAnsi="微软雅黑"/>
                <w:sz w:val="18"/>
                <w:szCs w:val="18"/>
              </w:rPr>
              <w:t>全日制</w:t>
            </w:r>
            <w:r w:rsidR="00F23BA4" w:rsidRPr="004B5BB0">
              <w:rPr>
                <w:rFonts w:ascii="微软雅黑" w:eastAsia="微软雅黑" w:hAnsi="微软雅黑" w:hint="eastAsia"/>
                <w:sz w:val="18"/>
                <w:szCs w:val="18"/>
              </w:rPr>
              <w:t>多学科课程，</w:t>
            </w:r>
            <w:r w:rsidR="005C4E14" w:rsidRPr="004B5BB0">
              <w:rPr>
                <w:rFonts w:ascii="微软雅黑" w:eastAsia="微软雅黑" w:hAnsi="微软雅黑" w:hint="eastAsia"/>
                <w:sz w:val="18"/>
                <w:szCs w:val="18"/>
              </w:rPr>
              <w:t>达到校方招生录取条件的在校大学生方可申请，学生在学期间</w:t>
            </w:r>
            <w:r w:rsidR="00915ED2" w:rsidRPr="004B5BB0">
              <w:rPr>
                <w:rFonts w:ascii="微软雅黑" w:eastAsia="微软雅黑" w:hAnsi="微软雅黑" w:hint="eastAsia"/>
                <w:sz w:val="18"/>
                <w:szCs w:val="18"/>
              </w:rPr>
              <w:t>学习</w:t>
            </w:r>
            <w:r w:rsidRPr="004B5BB0">
              <w:rPr>
                <w:rFonts w:ascii="微软雅黑" w:eastAsia="微软雅黑" w:hAnsi="微软雅黑" w:hint="eastAsia"/>
                <w:sz w:val="18"/>
                <w:szCs w:val="18"/>
              </w:rPr>
              <w:t>华威大学</w:t>
            </w:r>
            <w:r w:rsidR="005C4E14" w:rsidRPr="004B5BB0">
              <w:rPr>
                <w:rFonts w:ascii="微软雅黑" w:eastAsia="微软雅黑" w:hAnsi="微软雅黑" w:hint="eastAsia"/>
                <w:sz w:val="18"/>
                <w:szCs w:val="18"/>
              </w:rPr>
              <w:t>课程</w:t>
            </w:r>
            <w:r w:rsidR="00390A0A" w:rsidRPr="004B5BB0">
              <w:rPr>
                <w:rFonts w:ascii="微软雅黑" w:eastAsia="微软雅黑" w:hAnsi="微软雅黑" w:hint="eastAsia"/>
                <w:sz w:val="18"/>
                <w:szCs w:val="18"/>
              </w:rPr>
              <w:t>。学生</w:t>
            </w:r>
            <w:r w:rsidR="005C4E14"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修完相应课时，</w:t>
            </w:r>
            <w:r w:rsidR="00390A0A"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并且</w:t>
            </w:r>
            <w:r w:rsidR="005C4E14"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科目评分</w:t>
            </w:r>
            <w:r w:rsidR="00915ED2"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达标</w:t>
            </w:r>
            <w:r w:rsidR="00390A0A"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的学生，由</w:t>
            </w:r>
            <w:r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华威大学</w:t>
            </w:r>
            <w:r w:rsidR="00390A0A" w:rsidRPr="004B5BB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授予相应的学分</w:t>
            </w:r>
            <w:r w:rsidR="00412E37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。（此次华威大学暑期学分课程，将在伦敦圣玛利亚大学校园内完成，包括上课和住宿）</w:t>
            </w:r>
          </w:p>
        </w:tc>
      </w:tr>
      <w:tr w:rsidR="00EF5520" w:rsidRPr="004B5BB0" w:rsidTr="00577F07">
        <w:trPr>
          <w:trHeight w:val="397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EF5520" w:rsidRPr="004B5BB0" w:rsidRDefault="00EF5520" w:rsidP="00F96C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项目时长</w:t>
            </w:r>
          </w:p>
        </w:tc>
        <w:tc>
          <w:tcPr>
            <w:tcW w:w="9130" w:type="dxa"/>
            <w:shd w:val="clear" w:color="auto" w:fill="F2F2F2" w:themeFill="background1" w:themeFillShade="F2"/>
          </w:tcPr>
          <w:p w:rsidR="000508D4" w:rsidRDefault="0068547B" w:rsidP="000508D4">
            <w:pPr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2018年7月1</w:t>
            </w:r>
            <w:r w:rsidR="002C1A42">
              <w:rPr>
                <w:rFonts w:ascii="微软雅黑" w:eastAsia="微软雅黑" w:hAnsi="微软雅黑"/>
                <w:b/>
                <w:sz w:val="18"/>
                <w:szCs w:val="18"/>
              </w:rPr>
              <w:t>4</w:t>
            </w:r>
            <w:r w:rsidRPr="004B5BB0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日</w:t>
            </w:r>
            <w:r w:rsidR="002C1A42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（出发）</w:t>
            </w:r>
            <w:r w:rsidRPr="004B5BB0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-8月</w:t>
            </w:r>
            <w:r w:rsidR="002C1A42">
              <w:rPr>
                <w:rFonts w:ascii="微软雅黑" w:eastAsia="微软雅黑" w:hAnsi="微软雅黑"/>
                <w:b/>
                <w:sz w:val="18"/>
                <w:szCs w:val="18"/>
              </w:rPr>
              <w:t>12</w:t>
            </w:r>
            <w:r w:rsidRPr="004B5BB0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日</w:t>
            </w:r>
            <w:r w:rsidR="002C1A42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（返回），共4周，3</w:t>
            </w:r>
            <w:r w:rsidR="002C1A42">
              <w:rPr>
                <w:rFonts w:ascii="微软雅黑" w:eastAsia="微软雅黑" w:hAnsi="微软雅黑"/>
                <w:b/>
                <w:sz w:val="18"/>
                <w:szCs w:val="18"/>
              </w:rPr>
              <w:t>0</w:t>
            </w:r>
            <w:r w:rsidR="002C1A42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天</w:t>
            </w:r>
          </w:p>
          <w:p w:rsidR="002C1A42" w:rsidRPr="002C1A42" w:rsidRDefault="002C1A42" w:rsidP="000508D4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注：</w:t>
            </w:r>
            <w:r w:rsidRPr="002C1A42">
              <w:rPr>
                <w:rFonts w:ascii="微软雅黑" w:eastAsia="微软雅黑" w:hAnsi="微软雅黑" w:hint="eastAsia"/>
                <w:sz w:val="18"/>
                <w:szCs w:val="18"/>
              </w:rPr>
              <w:t>其中7月1</w:t>
            </w:r>
            <w:r w:rsidRPr="002C1A42">
              <w:rPr>
                <w:rFonts w:ascii="微软雅黑" w:eastAsia="微软雅黑" w:hAnsi="微软雅黑"/>
                <w:sz w:val="18"/>
                <w:szCs w:val="18"/>
              </w:rPr>
              <w:t>4</w:t>
            </w:r>
            <w:r w:rsidRPr="002C1A42">
              <w:rPr>
                <w:rFonts w:ascii="微软雅黑" w:eastAsia="微软雅黑" w:hAnsi="微软雅黑" w:hint="eastAsia"/>
                <w:sz w:val="18"/>
                <w:szCs w:val="18"/>
              </w:rPr>
              <w:t>日-</w:t>
            </w:r>
            <w:r w:rsidRPr="002C1A42">
              <w:rPr>
                <w:rFonts w:ascii="微软雅黑" w:eastAsia="微软雅黑" w:hAnsi="微软雅黑"/>
                <w:sz w:val="18"/>
                <w:szCs w:val="18"/>
              </w:rPr>
              <w:t>8</w:t>
            </w:r>
            <w:r w:rsidRPr="002C1A42">
              <w:rPr>
                <w:rFonts w:ascii="微软雅黑" w:eastAsia="微软雅黑" w:hAnsi="微软雅黑" w:hint="eastAsia"/>
                <w:sz w:val="18"/>
                <w:szCs w:val="18"/>
              </w:rPr>
              <w:t>月4日参加学分课程学习，8月5日-</w:t>
            </w:r>
            <w:r w:rsidRPr="002C1A42">
              <w:rPr>
                <w:rFonts w:ascii="微软雅黑" w:eastAsia="微软雅黑" w:hAnsi="微软雅黑"/>
                <w:sz w:val="18"/>
                <w:szCs w:val="18"/>
              </w:rPr>
              <w:t>8</w:t>
            </w:r>
            <w:r w:rsidRPr="002C1A42">
              <w:rPr>
                <w:rFonts w:ascii="微软雅黑" w:eastAsia="微软雅黑" w:hAnsi="微软雅黑" w:hint="eastAsia"/>
                <w:sz w:val="18"/>
                <w:szCs w:val="18"/>
              </w:rPr>
              <w:t>月1</w:t>
            </w:r>
            <w:r w:rsidRPr="002C1A42">
              <w:rPr>
                <w:rFonts w:ascii="微软雅黑" w:eastAsia="微软雅黑" w:hAnsi="微软雅黑"/>
                <w:sz w:val="18"/>
                <w:szCs w:val="18"/>
              </w:rPr>
              <w:t>2</w:t>
            </w:r>
            <w:r w:rsidRPr="002C1A42">
              <w:rPr>
                <w:rFonts w:ascii="微软雅黑" w:eastAsia="微软雅黑" w:hAnsi="微软雅黑" w:hint="eastAsia"/>
                <w:sz w:val="18"/>
                <w:szCs w:val="18"/>
              </w:rPr>
              <w:t>日参加牛津大学访学项目</w:t>
            </w:r>
          </w:p>
        </w:tc>
      </w:tr>
      <w:tr w:rsidR="00EF5520" w:rsidRPr="004B5BB0" w:rsidTr="00577F07">
        <w:trPr>
          <w:trHeight w:val="397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EF5520" w:rsidRPr="004B5BB0" w:rsidRDefault="00382941" w:rsidP="00F96C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可获</w:t>
            </w:r>
            <w:r w:rsidR="00EF5520" w:rsidRPr="004B5BB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学分</w:t>
            </w:r>
          </w:p>
        </w:tc>
        <w:tc>
          <w:tcPr>
            <w:tcW w:w="9130" w:type="dxa"/>
            <w:shd w:val="clear" w:color="auto" w:fill="F2F2F2" w:themeFill="background1" w:themeFillShade="F2"/>
          </w:tcPr>
          <w:p w:rsidR="00EF5520" w:rsidRPr="00557B87" w:rsidRDefault="001E591A" w:rsidP="00557B87">
            <w:pPr>
              <w:rPr>
                <w:rFonts w:ascii="微软雅黑" w:eastAsia="微软雅黑" w:hAnsi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学员修完相应的课程，无旷课并参加最终的结业考试，考试通过的学员将获得</w:t>
            </w:r>
            <w:r w:rsidR="00DF30CD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华威大学相应课程的学分证明</w:t>
            </w:r>
          </w:p>
        </w:tc>
      </w:tr>
      <w:tr w:rsidR="008B2EA9" w:rsidRPr="004B5BB0" w:rsidTr="00577F07">
        <w:trPr>
          <w:trHeight w:val="794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8B2EA9" w:rsidRPr="004B5BB0" w:rsidRDefault="008B2EA9" w:rsidP="000B0A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4B5BB0"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  <w:t>LSE</w:t>
            </w:r>
          </w:p>
          <w:p w:rsidR="008B2EA9" w:rsidRPr="004B5BB0" w:rsidRDefault="008B2EA9" w:rsidP="000B0A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大学证书</w:t>
            </w:r>
          </w:p>
        </w:tc>
        <w:tc>
          <w:tcPr>
            <w:tcW w:w="9130" w:type="dxa"/>
            <w:shd w:val="clear" w:color="auto" w:fill="F2F2F2" w:themeFill="background1" w:themeFillShade="F2"/>
            <w:vAlign w:val="center"/>
          </w:tcPr>
          <w:p w:rsidR="008B2EA9" w:rsidRDefault="008B2EA9" w:rsidP="008B2E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所有参加项目并修完所选课程的同学，将获得华威大学颁发的</w:t>
            </w:r>
            <w:r w:rsidRPr="004B5BB0">
              <w:rPr>
                <w:rFonts w:ascii="微软雅黑" w:eastAsia="微软雅黑" w:hAnsi="微软雅黑" w:hint="eastAsia"/>
                <w:sz w:val="18"/>
                <w:szCs w:val="18"/>
              </w:rPr>
              <w:t>项目结业证书</w:t>
            </w:r>
          </w:p>
          <w:p w:rsidR="008B2EA9" w:rsidRPr="004B5BB0" w:rsidRDefault="008B2EA9" w:rsidP="008B2E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课程无旷课，参加相应的课程考试并合格的同学，将获得相应课程的学分证明</w:t>
            </w:r>
          </w:p>
        </w:tc>
      </w:tr>
      <w:tr w:rsidR="00EF5520" w:rsidRPr="004B5BB0" w:rsidTr="00577F07">
        <w:trPr>
          <w:trHeight w:val="2268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EF5520" w:rsidRPr="004B5BB0" w:rsidRDefault="00EF5520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项目费用</w:t>
            </w:r>
          </w:p>
        </w:tc>
        <w:tc>
          <w:tcPr>
            <w:tcW w:w="9130" w:type="dxa"/>
            <w:shd w:val="clear" w:color="auto" w:fill="F2F2F2" w:themeFill="background1" w:themeFillShade="F2"/>
          </w:tcPr>
          <w:p w:rsidR="00EF5520" w:rsidRPr="004B5BB0" w:rsidRDefault="00EF5520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项目费（program fee）：</w:t>
            </w:r>
            <w:r w:rsidR="00904702" w:rsidRPr="004B5BB0">
              <w:rPr>
                <w:rFonts w:ascii="微软雅黑" w:eastAsia="微软雅黑" w:hAnsi="微软雅黑"/>
                <w:b/>
                <w:sz w:val="18"/>
                <w:szCs w:val="18"/>
              </w:rPr>
              <w:t xml:space="preserve">  </w:t>
            </w:r>
            <w:r w:rsidR="002C1A42">
              <w:rPr>
                <w:rFonts w:ascii="微软雅黑" w:eastAsia="微软雅黑" w:hAnsi="微软雅黑"/>
                <w:b/>
                <w:sz w:val="18"/>
                <w:szCs w:val="18"/>
              </w:rPr>
              <w:t>3</w:t>
            </w:r>
            <w:r w:rsidR="006671B6">
              <w:rPr>
                <w:rFonts w:ascii="微软雅黑" w:eastAsia="微软雅黑" w:hAnsi="微软雅黑"/>
                <w:b/>
                <w:sz w:val="18"/>
                <w:szCs w:val="18"/>
              </w:rPr>
              <w:t>4</w:t>
            </w:r>
            <w:r w:rsidR="00AC28E4">
              <w:rPr>
                <w:rFonts w:ascii="微软雅黑" w:eastAsia="微软雅黑" w:hAnsi="微软雅黑"/>
                <w:b/>
                <w:sz w:val="18"/>
                <w:szCs w:val="18"/>
              </w:rPr>
              <w:t>800</w:t>
            </w:r>
            <w:r w:rsidR="00904702" w:rsidRPr="004B5BB0">
              <w:rPr>
                <w:rFonts w:ascii="微软雅黑" w:eastAsia="微软雅黑" w:hAnsi="微软雅黑"/>
                <w:b/>
                <w:sz w:val="18"/>
                <w:szCs w:val="18"/>
              </w:rPr>
              <w:t xml:space="preserve">  </w:t>
            </w:r>
            <w:r w:rsidRPr="004B5BB0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元</w:t>
            </w:r>
            <w:r w:rsidR="00A32F27" w:rsidRPr="004B5BB0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人民币</w:t>
            </w:r>
            <w:r w:rsidRPr="004B5BB0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，包含：</w:t>
            </w:r>
          </w:p>
          <w:p w:rsidR="00EF5520" w:rsidRPr="004B5BB0" w:rsidRDefault="00EF5520" w:rsidP="00577F07">
            <w:pPr>
              <w:pStyle w:val="a7"/>
              <w:widowControl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学杂费：项目管理费、</w:t>
            </w:r>
            <w:r w:rsidR="00457BD6">
              <w:rPr>
                <w:rFonts w:ascii="微软雅黑" w:eastAsia="微软雅黑" w:hAnsi="微软雅黑" w:cs="Arial" w:hint="eastAsia"/>
                <w:sz w:val="18"/>
                <w:szCs w:val="18"/>
              </w:rPr>
              <w:t>大学</w:t>
            </w: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课程费、</w:t>
            </w:r>
            <w:r w:rsidR="00457BD6">
              <w:rPr>
                <w:rFonts w:ascii="微软雅黑" w:eastAsia="微软雅黑" w:hAnsi="微软雅黑" w:cs="Arial" w:hint="eastAsia"/>
                <w:sz w:val="18"/>
                <w:szCs w:val="18"/>
              </w:rPr>
              <w:t>项目</w:t>
            </w: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申请费、</w:t>
            </w:r>
            <w:r w:rsidR="00457BD6">
              <w:rPr>
                <w:rFonts w:ascii="微软雅黑" w:eastAsia="微软雅黑" w:hAnsi="微软雅黑" w:cs="Arial" w:hint="eastAsia"/>
                <w:sz w:val="18"/>
                <w:szCs w:val="18"/>
              </w:rPr>
              <w:t>学生</w:t>
            </w: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注册费、国际学生服务费、</w:t>
            </w:r>
            <w:r w:rsidR="00457BD6">
              <w:rPr>
                <w:rFonts w:ascii="微软雅黑" w:eastAsia="微软雅黑" w:hAnsi="微软雅黑" w:cs="Arial" w:hint="eastAsia"/>
                <w:sz w:val="18"/>
                <w:szCs w:val="18"/>
              </w:rPr>
              <w:t>学校</w:t>
            </w: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设施</w:t>
            </w:r>
            <w:r w:rsidR="00457BD6">
              <w:rPr>
                <w:rFonts w:ascii="微软雅黑" w:eastAsia="微软雅黑" w:hAnsi="微软雅黑" w:cs="Arial" w:hint="eastAsia"/>
                <w:sz w:val="18"/>
                <w:szCs w:val="18"/>
              </w:rPr>
              <w:t>使用</w:t>
            </w: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费</w:t>
            </w:r>
            <w:r w:rsidR="00096213">
              <w:rPr>
                <w:rFonts w:ascii="微软雅黑" w:eastAsia="微软雅黑" w:hAnsi="微软雅黑" w:cs="Arial" w:hint="eastAsia"/>
                <w:sz w:val="18"/>
                <w:szCs w:val="18"/>
              </w:rPr>
              <w:t>、</w:t>
            </w:r>
            <w:r w:rsidR="00457BD6">
              <w:rPr>
                <w:rFonts w:ascii="微软雅黑" w:eastAsia="微软雅黑" w:hAnsi="微软雅黑" w:hint="eastAsia"/>
                <w:sz w:val="18"/>
                <w:szCs w:val="18"/>
              </w:rPr>
              <w:t>签证费</w:t>
            </w: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等</w:t>
            </w:r>
          </w:p>
          <w:p w:rsidR="00EF5520" w:rsidRPr="004B5BB0" w:rsidRDefault="00EF5520" w:rsidP="00577F07">
            <w:pPr>
              <w:pStyle w:val="a7"/>
              <w:widowControl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firstLineChars="0"/>
              <w:jc w:val="left"/>
              <w:rPr>
                <w:rFonts w:ascii="微软雅黑" w:eastAsia="微软雅黑" w:hAnsi="微软雅黑" w:cs="Arial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服务管理费：</w:t>
            </w:r>
            <w:r w:rsidR="00096213">
              <w:rPr>
                <w:rFonts w:ascii="微软雅黑" w:eastAsia="微软雅黑" w:hAnsi="微软雅黑" w:cs="Arial" w:hint="eastAsia"/>
                <w:sz w:val="18"/>
                <w:szCs w:val="18"/>
              </w:rPr>
              <w:t>项目组</w:t>
            </w: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为学生提供全方位的项目咨询、支持和服务，包括项目咨询、项目申请及课程注册、住宿</w:t>
            </w:r>
            <w:r w:rsidR="002C1A42">
              <w:rPr>
                <w:rFonts w:ascii="微软雅黑" w:eastAsia="微软雅黑" w:hAnsi="微软雅黑" w:cs="Arial" w:hint="eastAsia"/>
                <w:sz w:val="18"/>
                <w:szCs w:val="18"/>
              </w:rPr>
              <w:t>申请</w:t>
            </w: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服务费、签证指导、旅行和应急保险购买、行前指导、赴</w:t>
            </w:r>
            <w:r w:rsidR="00F95477"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英</w:t>
            </w: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地面接机、应急支援及服务等。</w:t>
            </w:r>
          </w:p>
          <w:p w:rsidR="00F95477" w:rsidRPr="004B5BB0" w:rsidRDefault="00EF5520" w:rsidP="00F95477">
            <w:pPr>
              <w:pStyle w:val="a7"/>
              <w:widowControl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firstLineChars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cs="Arial" w:hint="eastAsia"/>
                <w:sz w:val="18"/>
                <w:szCs w:val="18"/>
              </w:rPr>
              <w:t>全程境外保险</w:t>
            </w:r>
            <w:r w:rsidR="002C1A42">
              <w:rPr>
                <w:rFonts w:ascii="微软雅黑" w:eastAsia="微软雅黑" w:hAnsi="微软雅黑" w:cs="Arial" w:hint="eastAsia"/>
                <w:sz w:val="18"/>
                <w:szCs w:val="18"/>
              </w:rPr>
              <w:t>，</w:t>
            </w:r>
            <w:r w:rsidR="002C1A42" w:rsidRPr="002C1A42">
              <w:rPr>
                <w:rFonts w:ascii="微软雅黑" w:eastAsia="微软雅黑" w:hAnsi="微软雅黑" w:cs="Arial" w:hint="eastAsia"/>
                <w:b/>
                <w:sz w:val="18"/>
                <w:szCs w:val="18"/>
              </w:rPr>
              <w:t>8月5日-</w:t>
            </w:r>
            <w:r w:rsidR="002C1A42" w:rsidRPr="002C1A42">
              <w:rPr>
                <w:rFonts w:ascii="微软雅黑" w:eastAsia="微软雅黑" w:hAnsi="微软雅黑" w:cs="Arial"/>
                <w:b/>
                <w:sz w:val="18"/>
                <w:szCs w:val="18"/>
              </w:rPr>
              <w:t>8</w:t>
            </w:r>
            <w:r w:rsidR="002C1A42" w:rsidRPr="002C1A42">
              <w:rPr>
                <w:rFonts w:ascii="微软雅黑" w:eastAsia="微软雅黑" w:hAnsi="微软雅黑" w:cs="Arial" w:hint="eastAsia"/>
                <w:b/>
                <w:sz w:val="18"/>
                <w:szCs w:val="18"/>
              </w:rPr>
              <w:t>月1</w:t>
            </w:r>
            <w:r w:rsidR="002C1A42" w:rsidRPr="002C1A42">
              <w:rPr>
                <w:rFonts w:ascii="微软雅黑" w:eastAsia="微软雅黑" w:hAnsi="微软雅黑" w:cs="Arial"/>
                <w:b/>
                <w:sz w:val="18"/>
                <w:szCs w:val="18"/>
              </w:rPr>
              <w:t>1</w:t>
            </w:r>
            <w:r w:rsidR="002C1A42" w:rsidRPr="002C1A42">
              <w:rPr>
                <w:rFonts w:ascii="微软雅黑" w:eastAsia="微软雅黑" w:hAnsi="微软雅黑" w:cs="Arial" w:hint="eastAsia"/>
                <w:b/>
                <w:sz w:val="18"/>
                <w:szCs w:val="18"/>
              </w:rPr>
              <w:t>日住宿、三餐费用</w:t>
            </w:r>
          </w:p>
          <w:p w:rsidR="00EF5520" w:rsidRPr="004B5BB0" w:rsidRDefault="00EF5520" w:rsidP="00F95477">
            <w:pPr>
              <w:pStyle w:val="a7"/>
              <w:widowControl/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firstLineChars="0"/>
              <w:jc w:val="left"/>
              <w:rPr>
                <w:rFonts w:ascii="微软雅黑" w:eastAsia="微软雅黑" w:hAnsi="微软雅黑"/>
                <w:sz w:val="18"/>
                <w:szCs w:val="18"/>
              </w:rPr>
            </w:pPr>
            <w:r w:rsidRPr="00C90658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注：</w:t>
            </w:r>
            <w:r w:rsidR="00096213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以上费用不含</w:t>
            </w:r>
            <w:r w:rsidR="00457BD6" w:rsidRPr="00C90658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往返</w:t>
            </w:r>
            <w:r w:rsidRPr="00C90658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国际机票费用</w:t>
            </w:r>
            <w:r w:rsidR="00681868" w:rsidRPr="00C90658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、</w:t>
            </w:r>
            <w:r w:rsidR="002C1A42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华威大学</w:t>
            </w:r>
            <w:r w:rsidR="00096213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住宿餐饮</w:t>
            </w:r>
            <w:r w:rsidR="002C1A42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费</w:t>
            </w:r>
            <w:r w:rsidR="00681868" w:rsidRPr="00C90658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、其他</w:t>
            </w:r>
            <w:r w:rsidRPr="00C90658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个人消费</w:t>
            </w:r>
            <w:r w:rsidR="00096213">
              <w:rPr>
                <w:rFonts w:ascii="华文宋体" w:eastAsia="华文宋体" w:hAnsi="华文宋体" w:hint="eastAsia"/>
                <w:b/>
                <w:sz w:val="18"/>
                <w:szCs w:val="18"/>
              </w:rPr>
              <w:t>等</w:t>
            </w:r>
            <w:r w:rsidRPr="004B5BB0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</w:tc>
      </w:tr>
      <w:tr w:rsidR="00577F07" w:rsidRPr="004B5BB0" w:rsidTr="00577F07">
        <w:trPr>
          <w:tblCellSpacing w:w="28" w:type="dxa"/>
          <w:jc w:val="center"/>
        </w:trPr>
        <w:tc>
          <w:tcPr>
            <w:tcW w:w="1050" w:type="dxa"/>
            <w:vMerge w:val="restart"/>
            <w:shd w:val="clear" w:color="auto" w:fill="2E74B5" w:themeFill="accent5" w:themeFillShade="BF"/>
            <w:vAlign w:val="center"/>
          </w:tcPr>
          <w:p w:rsidR="002C1A42" w:rsidRDefault="002C1A42" w:rsidP="00577F07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lastRenderedPageBreak/>
              <w:t>华威大学</w:t>
            </w:r>
          </w:p>
          <w:p w:rsidR="00577F07" w:rsidRPr="004B5BB0" w:rsidRDefault="00577F07" w:rsidP="00577F07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4B5BB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可选课程</w:t>
            </w:r>
          </w:p>
        </w:tc>
        <w:tc>
          <w:tcPr>
            <w:tcW w:w="9130" w:type="dxa"/>
            <w:shd w:val="clear" w:color="auto" w:fill="F2F2F2" w:themeFill="background1" w:themeFillShade="F2"/>
          </w:tcPr>
          <w:p w:rsidR="00155882" w:rsidRDefault="00577F07" w:rsidP="00577F07">
            <w:pPr>
              <w:rPr>
                <w:rFonts w:ascii="微软雅黑" w:eastAsia="微软雅黑" w:hAnsi="微软雅黑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暑期提供1</w:t>
            </w:r>
            <w:r>
              <w:rPr>
                <w:rFonts w:ascii="微软雅黑" w:eastAsia="微软雅黑" w:hAnsi="微软雅黑"/>
                <w:b/>
                <w:sz w:val="18"/>
                <w:szCs w:val="18"/>
              </w:rPr>
              <w:t>3</w:t>
            </w:r>
            <w:r>
              <w:rPr>
                <w:rFonts w:ascii="微软雅黑" w:eastAsia="微软雅黑" w:hAnsi="微软雅黑" w:hint="eastAsia"/>
                <w:b/>
                <w:sz w:val="18"/>
                <w:szCs w:val="18"/>
              </w:rPr>
              <w:t>门可选课程，学员可在</w:t>
            </w:r>
            <w:r w:rsidRPr="00557B87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经济与社会科学</w:t>
            </w:r>
            <w:r>
              <w:rPr>
                <w:rFonts w:ascii="微软雅黑" w:eastAsia="微软雅黑" w:hAnsi="微软雅黑" w:hint="eastAsia"/>
                <w:b/>
                <w:sz w:val="18"/>
                <w:szCs w:val="18"/>
              </w:rPr>
              <w:t>、</w:t>
            </w:r>
            <w:r w:rsidRPr="00557B87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人文社科</w:t>
            </w:r>
            <w:r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两大类中选择学习的课程，具体课程如下</w:t>
            </w:r>
          </w:p>
          <w:p w:rsidR="00577F07" w:rsidRPr="004B5BB0" w:rsidRDefault="00155882" w:rsidP="00577F07">
            <w:pPr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C46B7F">
              <w:rPr>
                <w:rFonts w:ascii="微软雅黑" w:eastAsia="微软雅黑" w:hAnsi="微软雅黑" w:hint="eastAsia"/>
                <w:sz w:val="18"/>
                <w:szCs w:val="18"/>
              </w:rPr>
              <w:t>（</w:t>
            </w:r>
            <w:r w:rsidR="00C46B7F" w:rsidRPr="00C46B7F">
              <w:rPr>
                <w:rFonts w:ascii="宋体" w:eastAsia="宋体" w:hAnsi="宋体"/>
                <w:i/>
                <w:sz w:val="20"/>
              </w:rPr>
              <w:t>*</w:t>
            </w:r>
            <w:r w:rsidR="00C46B7F" w:rsidRPr="00C46B7F">
              <w:rPr>
                <w:rFonts w:eastAsia="宋体" w:hint="eastAsia"/>
                <w:i/>
                <w:sz w:val="20"/>
              </w:rPr>
              <w:t xml:space="preserve"> </w:t>
            </w:r>
            <w:r w:rsidR="00C46B7F" w:rsidRPr="00A410FB">
              <w:rPr>
                <w:rFonts w:eastAsia="宋体"/>
                <w:i/>
                <w:sz w:val="20"/>
              </w:rPr>
              <w:t>公共政策和公共财政</w:t>
            </w:r>
            <w:r w:rsidR="00C46B7F" w:rsidRPr="00A410FB">
              <w:rPr>
                <w:rFonts w:eastAsia="宋体" w:hint="eastAsia"/>
                <w:i/>
                <w:sz w:val="20"/>
              </w:rPr>
              <w:t>、</w:t>
            </w:r>
            <w:r w:rsidR="00C46B7F" w:rsidRPr="00A410FB">
              <w:rPr>
                <w:rFonts w:eastAsia="宋体"/>
                <w:i/>
                <w:sz w:val="20"/>
              </w:rPr>
              <w:t>沟通与营销</w:t>
            </w:r>
            <w:r w:rsidR="00C46B7F" w:rsidRPr="00A410FB">
              <w:rPr>
                <w:rFonts w:eastAsia="宋体" w:hint="eastAsia"/>
                <w:i/>
                <w:sz w:val="20"/>
              </w:rPr>
              <w:t>2</w:t>
            </w:r>
            <w:r w:rsidR="00C46B7F" w:rsidRPr="00A410FB">
              <w:rPr>
                <w:rFonts w:eastAsia="宋体" w:hint="eastAsia"/>
                <w:i/>
                <w:sz w:val="20"/>
              </w:rPr>
              <w:t>门</w:t>
            </w:r>
            <w:r w:rsidR="00C46B7F" w:rsidRPr="00A410FB">
              <w:rPr>
                <w:rFonts w:eastAsia="宋体"/>
                <w:i/>
                <w:sz w:val="20"/>
              </w:rPr>
              <w:t>课由圣玛丽大学统筹和授课</w:t>
            </w:r>
            <w:r w:rsidR="00C46B7F" w:rsidRPr="00C46B7F">
              <w:rPr>
                <w:rFonts w:eastAsia="宋体"/>
                <w:i/>
                <w:sz w:val="20"/>
              </w:rPr>
              <w:t>。</w:t>
            </w:r>
            <w:r w:rsidRPr="00C46B7F">
              <w:rPr>
                <w:rFonts w:ascii="微软雅黑" w:eastAsia="微软雅黑" w:hAnsi="微软雅黑" w:hint="eastAsia"/>
                <w:sz w:val="18"/>
                <w:szCs w:val="18"/>
              </w:rPr>
              <w:t>）</w:t>
            </w:r>
          </w:p>
        </w:tc>
      </w:tr>
      <w:tr w:rsidR="00155882" w:rsidRPr="00557B87" w:rsidTr="00155882">
        <w:trPr>
          <w:tblCellSpacing w:w="28" w:type="dxa"/>
          <w:jc w:val="center"/>
        </w:trPr>
        <w:tc>
          <w:tcPr>
            <w:tcW w:w="1050" w:type="dxa"/>
            <w:vMerge/>
            <w:shd w:val="clear" w:color="auto" w:fill="2E74B5" w:themeFill="accent5" w:themeFillShade="BF"/>
            <w:vAlign w:val="center"/>
          </w:tcPr>
          <w:p w:rsidR="00155882" w:rsidRPr="004B5BB0" w:rsidRDefault="00155882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130" w:type="dxa"/>
            <w:shd w:val="clear" w:color="auto" w:fill="F2F2F2" w:themeFill="background1" w:themeFillShade="F2"/>
          </w:tcPr>
          <w:p w:rsidR="00155882" w:rsidRPr="00557B87" w:rsidRDefault="00155882" w:rsidP="00577F07">
            <w:pPr>
              <w:spacing w:afterLines="50" w:after="156" w:line="240" w:lineRule="auto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557B87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经济与社会科学方面课程</w:t>
            </w:r>
            <w:r w:rsidRPr="00D514B7">
              <w:rPr>
                <w:b/>
              </w:rPr>
              <w:t>Economics and Social Sciences</w:t>
            </w:r>
            <w:r>
              <w:rPr>
                <w:rFonts w:hint="eastAsia"/>
                <w:b/>
              </w:rPr>
              <w:t>：</w:t>
            </w:r>
          </w:p>
          <w:p w:rsidR="00155882" w:rsidRPr="00557B87" w:rsidRDefault="00155882" w:rsidP="00691098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Behavioural Economics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行为经济学</w:t>
            </w:r>
          </w:p>
          <w:p w:rsidR="00155882" w:rsidRPr="00557B87" w:rsidRDefault="00155882" w:rsidP="00577F07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Game Theory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博弈论</w:t>
            </w:r>
          </w:p>
          <w:p w:rsidR="00155882" w:rsidRPr="00557B87" w:rsidRDefault="00155882" w:rsidP="00577F07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Money and Banking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货币银行学</w:t>
            </w:r>
          </w:p>
          <w:p w:rsidR="00155882" w:rsidRPr="00557B87" w:rsidRDefault="00155882" w:rsidP="00155882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Public Policy and Public Finance*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691098">
              <w:rPr>
                <w:rFonts w:hint="eastAsia"/>
                <w:sz w:val="18"/>
                <w:szCs w:val="18"/>
              </w:rPr>
              <w:t>公共政策和公共财政</w:t>
            </w:r>
          </w:p>
          <w:p w:rsidR="00155882" w:rsidRPr="00691098" w:rsidRDefault="00155882" w:rsidP="00155882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Principles of Economics for Non-Economists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691098">
              <w:rPr>
                <w:rFonts w:hint="eastAsia"/>
                <w:sz w:val="18"/>
                <w:szCs w:val="18"/>
              </w:rPr>
              <w:t>非经济学家的经济学原理</w:t>
            </w:r>
          </w:p>
          <w:p w:rsidR="00155882" w:rsidRPr="00557B87" w:rsidRDefault="00155882" w:rsidP="00577F07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International Business and Finance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155882">
              <w:rPr>
                <w:rFonts w:hint="eastAsia"/>
                <w:sz w:val="18"/>
                <w:szCs w:val="18"/>
              </w:rPr>
              <w:t>国际</w:t>
            </w:r>
            <w:r>
              <w:rPr>
                <w:rFonts w:hint="eastAsia"/>
                <w:sz w:val="18"/>
                <w:szCs w:val="18"/>
              </w:rPr>
              <w:t>商业</w:t>
            </w:r>
            <w:r w:rsidRPr="00155882">
              <w:rPr>
                <w:rFonts w:hint="eastAsia"/>
                <w:sz w:val="18"/>
                <w:szCs w:val="18"/>
              </w:rPr>
              <w:t>和金融</w:t>
            </w:r>
          </w:p>
          <w:p w:rsidR="00155882" w:rsidRPr="00557B87" w:rsidRDefault="00155882" w:rsidP="00577F07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International Development</w:t>
            </w:r>
            <w:r>
              <w:rPr>
                <w:sz w:val="18"/>
                <w:szCs w:val="18"/>
              </w:rPr>
              <w:t xml:space="preserve">  </w:t>
            </w:r>
            <w:r w:rsidRPr="00155882">
              <w:rPr>
                <w:rFonts w:hint="eastAsia"/>
                <w:sz w:val="18"/>
                <w:szCs w:val="18"/>
              </w:rPr>
              <w:t>国际发展</w:t>
            </w:r>
          </w:p>
          <w:p w:rsidR="00155882" w:rsidRPr="00155882" w:rsidRDefault="00155882" w:rsidP="00691098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Navigating Religion, Identity and Conflict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155882">
              <w:rPr>
                <w:rFonts w:ascii="微软雅黑" w:eastAsia="微软雅黑" w:hAnsi="微软雅黑" w:hint="eastAsia"/>
                <w:sz w:val="18"/>
                <w:szCs w:val="18"/>
              </w:rPr>
              <w:t>宗教，身份和冲突概览</w:t>
            </w:r>
          </w:p>
        </w:tc>
      </w:tr>
      <w:tr w:rsidR="00577F07" w:rsidRPr="004B5BB0" w:rsidTr="006671B6">
        <w:trPr>
          <w:trHeight w:val="2615"/>
          <w:tblCellSpacing w:w="28" w:type="dxa"/>
          <w:jc w:val="center"/>
        </w:trPr>
        <w:tc>
          <w:tcPr>
            <w:tcW w:w="1050" w:type="dxa"/>
            <w:vMerge/>
            <w:shd w:val="clear" w:color="auto" w:fill="2E74B5" w:themeFill="accent5" w:themeFillShade="BF"/>
            <w:vAlign w:val="center"/>
          </w:tcPr>
          <w:p w:rsidR="00577F07" w:rsidRPr="004B5BB0" w:rsidRDefault="00577F07" w:rsidP="00577F07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130" w:type="dxa"/>
            <w:shd w:val="clear" w:color="auto" w:fill="F2F2F2" w:themeFill="background1" w:themeFillShade="F2"/>
          </w:tcPr>
          <w:p w:rsidR="00691098" w:rsidRPr="00557B87" w:rsidRDefault="00691098" w:rsidP="00691098">
            <w:pPr>
              <w:spacing w:afterLines="50" w:after="156" w:line="240" w:lineRule="auto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557B87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人文社科类课程</w:t>
            </w:r>
            <w:r w:rsidRPr="00557B87">
              <w:rPr>
                <w:b/>
              </w:rPr>
              <w:t>Science and Humanities</w:t>
            </w:r>
            <w:r>
              <w:rPr>
                <w:rFonts w:hint="eastAsia"/>
                <w:b/>
              </w:rPr>
              <w:t>：</w:t>
            </w:r>
          </w:p>
          <w:p w:rsidR="00691098" w:rsidRPr="00557B87" w:rsidRDefault="00691098" w:rsidP="00691098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Introduction to Artificial Intelligence</w:t>
            </w:r>
            <w:r w:rsidR="00155882">
              <w:rPr>
                <w:sz w:val="18"/>
                <w:szCs w:val="18"/>
              </w:rPr>
              <w:t xml:space="preserve">  </w:t>
            </w:r>
            <w:r w:rsidR="00155882" w:rsidRPr="00155882">
              <w:rPr>
                <w:rFonts w:hint="eastAsia"/>
                <w:sz w:val="18"/>
                <w:szCs w:val="18"/>
              </w:rPr>
              <w:t>人工智能导论</w:t>
            </w:r>
          </w:p>
          <w:p w:rsidR="00691098" w:rsidRPr="00557B87" w:rsidRDefault="00691098" w:rsidP="00691098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Data Science - Foundations of Data Analytics</w:t>
            </w:r>
            <w:r w:rsidR="00155882">
              <w:rPr>
                <w:sz w:val="18"/>
                <w:szCs w:val="18"/>
              </w:rPr>
              <w:t xml:space="preserve">  </w:t>
            </w:r>
            <w:r w:rsidR="00155882" w:rsidRPr="00155882">
              <w:rPr>
                <w:rFonts w:hint="eastAsia"/>
                <w:sz w:val="18"/>
                <w:szCs w:val="18"/>
              </w:rPr>
              <w:t>数据科学——数据分析的基础</w:t>
            </w:r>
          </w:p>
          <w:p w:rsidR="00691098" w:rsidRPr="00557B87" w:rsidRDefault="00691098" w:rsidP="00691098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Introduction to Psychology</w:t>
            </w:r>
            <w:r w:rsidR="00155882">
              <w:rPr>
                <w:sz w:val="18"/>
                <w:szCs w:val="18"/>
              </w:rPr>
              <w:t xml:space="preserve">  </w:t>
            </w:r>
            <w:r w:rsidR="00155882" w:rsidRPr="00155882">
              <w:rPr>
                <w:rFonts w:hint="eastAsia"/>
                <w:sz w:val="18"/>
                <w:szCs w:val="18"/>
              </w:rPr>
              <w:t>心理学导论</w:t>
            </w:r>
          </w:p>
          <w:p w:rsidR="00691098" w:rsidRPr="00557B87" w:rsidRDefault="00691098" w:rsidP="00691098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Communications and Marketing*</w:t>
            </w:r>
            <w:r w:rsidR="00155882">
              <w:rPr>
                <w:sz w:val="18"/>
                <w:szCs w:val="18"/>
              </w:rPr>
              <w:t xml:space="preserve"> </w:t>
            </w:r>
            <w:r w:rsidR="00155882">
              <w:rPr>
                <w:rFonts w:hint="eastAsia"/>
                <w:sz w:val="18"/>
                <w:szCs w:val="18"/>
              </w:rPr>
              <w:t>沟通和营销</w:t>
            </w:r>
          </w:p>
          <w:p w:rsidR="00691098" w:rsidRPr="00557B87" w:rsidRDefault="00691098" w:rsidP="00691098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Creative Writing: Future Fiction</w:t>
            </w:r>
            <w:r w:rsidR="00155882">
              <w:rPr>
                <w:sz w:val="18"/>
                <w:szCs w:val="18"/>
              </w:rPr>
              <w:t xml:space="preserve">  </w:t>
            </w:r>
            <w:r w:rsidR="00155882" w:rsidRPr="00155882">
              <w:rPr>
                <w:rFonts w:hint="eastAsia"/>
                <w:sz w:val="18"/>
                <w:szCs w:val="18"/>
              </w:rPr>
              <w:t>创意写作</w:t>
            </w:r>
            <w:r w:rsidR="00155882" w:rsidRPr="00155882">
              <w:rPr>
                <w:rFonts w:hint="eastAsia"/>
                <w:sz w:val="18"/>
                <w:szCs w:val="18"/>
              </w:rPr>
              <w:t>:</w:t>
            </w:r>
            <w:r w:rsidR="00155882" w:rsidRPr="00155882">
              <w:rPr>
                <w:rFonts w:hint="eastAsia"/>
                <w:sz w:val="18"/>
                <w:szCs w:val="18"/>
              </w:rPr>
              <w:t>未来的小说</w:t>
            </w:r>
          </w:p>
          <w:p w:rsidR="00577F07" w:rsidRPr="00155882" w:rsidRDefault="00691098" w:rsidP="00577F07">
            <w:pPr>
              <w:rPr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Leadership, Communication and Culture</w:t>
            </w:r>
            <w:r w:rsidR="00155882">
              <w:rPr>
                <w:sz w:val="18"/>
                <w:szCs w:val="18"/>
              </w:rPr>
              <w:t xml:space="preserve">  </w:t>
            </w:r>
            <w:r w:rsidR="00155882">
              <w:rPr>
                <w:rFonts w:hint="eastAsia"/>
                <w:sz w:val="18"/>
                <w:szCs w:val="18"/>
              </w:rPr>
              <w:t>领导力，沟通和文化</w:t>
            </w:r>
          </w:p>
        </w:tc>
      </w:tr>
      <w:tr w:rsidR="002C1A42" w:rsidRPr="004B5BB0" w:rsidTr="006671B6">
        <w:trPr>
          <w:trHeight w:val="445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2C1A42" w:rsidRPr="004B5BB0" w:rsidRDefault="002C1A42" w:rsidP="006671B6">
            <w:pPr>
              <w:spacing w:line="240" w:lineRule="auto"/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牛津访学</w:t>
            </w:r>
          </w:p>
        </w:tc>
        <w:tc>
          <w:tcPr>
            <w:tcW w:w="9130" w:type="dxa"/>
            <w:shd w:val="clear" w:color="auto" w:fill="F2F2F2" w:themeFill="background1" w:themeFillShade="F2"/>
            <w:vAlign w:val="center"/>
          </w:tcPr>
          <w:p w:rsidR="002C1A42" w:rsidRPr="00557B87" w:rsidRDefault="002C1A42" w:rsidP="006671B6">
            <w:pPr>
              <w:spacing w:line="240" w:lineRule="auto"/>
              <w:jc w:val="both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557B87">
              <w:rPr>
                <w:rFonts w:ascii="等线" w:hAnsi="等线" w:hint="eastAsia"/>
                <w:sz w:val="18"/>
                <w:szCs w:val="18"/>
              </w:rPr>
              <w:t>◆</w:t>
            </w:r>
            <w:r w:rsidRPr="00557B8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6671B6">
              <w:rPr>
                <w:rFonts w:hint="eastAsia"/>
                <w:sz w:val="18"/>
                <w:szCs w:val="18"/>
              </w:rPr>
              <w:t>5</w:t>
            </w:r>
            <w:r w:rsidR="006671B6">
              <w:rPr>
                <w:sz w:val="18"/>
                <w:szCs w:val="18"/>
              </w:rPr>
              <w:t xml:space="preserve"> </w:t>
            </w:r>
            <w:r w:rsidR="006671B6">
              <w:rPr>
                <w:rFonts w:hint="eastAsia"/>
                <w:sz w:val="18"/>
                <w:szCs w:val="18"/>
              </w:rPr>
              <w:t>-</w:t>
            </w:r>
            <w:r w:rsidR="006671B6">
              <w:rPr>
                <w:sz w:val="18"/>
                <w:szCs w:val="18"/>
              </w:rPr>
              <w:t xml:space="preserve"> 8</w:t>
            </w:r>
            <w:r w:rsidR="006671B6">
              <w:rPr>
                <w:rFonts w:hint="eastAsia"/>
                <w:sz w:val="18"/>
                <w:szCs w:val="18"/>
              </w:rPr>
              <w:t>月</w:t>
            </w:r>
            <w:r w:rsidR="006671B6">
              <w:rPr>
                <w:rFonts w:hint="eastAsia"/>
                <w:sz w:val="18"/>
                <w:szCs w:val="18"/>
              </w:rPr>
              <w:t>1</w:t>
            </w:r>
            <w:r w:rsidR="006671B6">
              <w:rPr>
                <w:sz w:val="18"/>
                <w:szCs w:val="18"/>
              </w:rPr>
              <w:t>1</w:t>
            </w:r>
            <w:r w:rsidR="006671B6">
              <w:rPr>
                <w:rFonts w:hint="eastAsia"/>
                <w:sz w:val="18"/>
                <w:szCs w:val="18"/>
              </w:rPr>
              <w:t>日期间，将参加牛津大学访学项目精选课程，课程涉及商业、领导力、创意</w:t>
            </w:r>
            <w:r w:rsidR="006671B6">
              <w:rPr>
                <w:rFonts w:hint="eastAsia"/>
                <w:sz w:val="18"/>
                <w:szCs w:val="18"/>
              </w:rPr>
              <w:t>workshop</w:t>
            </w:r>
            <w:r w:rsidR="006671B6">
              <w:rPr>
                <w:rFonts w:hint="eastAsia"/>
                <w:sz w:val="18"/>
                <w:szCs w:val="18"/>
              </w:rPr>
              <w:t>等</w:t>
            </w:r>
          </w:p>
        </w:tc>
      </w:tr>
    </w:tbl>
    <w:p w:rsidR="00EF5520" w:rsidRPr="009557E0" w:rsidRDefault="008C6E1A" w:rsidP="00D94C70">
      <w:pPr>
        <w:pStyle w:val="12"/>
        <w:rPr>
          <w:lang w:val="zh-CN"/>
        </w:rPr>
      </w:pPr>
      <w:r w:rsidRPr="009557E0">
        <w:rPr>
          <w:rFonts w:hint="eastAsia"/>
          <w:lang w:val="zh-CN"/>
        </w:rPr>
        <w:t>校园相关</w:t>
      </w:r>
    </w:p>
    <w:tbl>
      <w:tblPr>
        <w:tblStyle w:val="a8"/>
        <w:tblW w:w="10348" w:type="dxa"/>
        <w:jc w:val="center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3071"/>
        <w:gridCol w:w="1536"/>
        <w:gridCol w:w="1535"/>
        <w:gridCol w:w="3072"/>
      </w:tblGrid>
      <w:tr w:rsidR="00EF5520" w:rsidRPr="00D94C70" w:rsidTr="00527500">
        <w:trPr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EF5520" w:rsidRPr="00D94C70" w:rsidRDefault="00EF5520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学术特色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</w:tcPr>
          <w:p w:rsidR="00193B6D" w:rsidRPr="00D94C70" w:rsidRDefault="00193B6D" w:rsidP="00193B6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sz w:val="18"/>
                <w:szCs w:val="18"/>
              </w:rPr>
              <w:t>华威大学的学科分为人文、自然科学、社会科学和医学四大类，有30个院系和50个研究中心，提供120个不同专业的本科学位和超过100个硕士与博士研究生学位。</w:t>
            </w:r>
          </w:p>
          <w:p w:rsidR="00193B6D" w:rsidRPr="00D94C70" w:rsidRDefault="00193B6D" w:rsidP="00193B6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sz w:val="18"/>
                <w:szCs w:val="18"/>
              </w:rPr>
              <w:t>身为英国名门大学之一，华威大学在全英大学教学研究评估中长年名列前茅，其中不少学科更居全英大学前三强之列，包括数学、统计学、工商管理、经济学、国际关系与计算机科学等。其中华威商学院，更是被誉为华威大学发展史上的奇迹，经过短短40年的发展，已在全球几千所商学院中排名第26位。其它受到好评的学科有：法律、分子生物学、教育、英语、传媒、古典古代史、戏剧与电影研究、哲学、社会学等。学校同时还开设成人及终身教育课程，学习安排很灵活。</w:t>
            </w:r>
          </w:p>
          <w:p w:rsidR="0068547B" w:rsidRPr="00D94C70" w:rsidRDefault="00193B6D" w:rsidP="00193B6D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sz w:val="18"/>
                <w:szCs w:val="18"/>
              </w:rPr>
              <w:t>1984年学校建立科学园区，截止2012年园内共设有超过70家高科技公司。</w:t>
            </w:r>
          </w:p>
        </w:tc>
      </w:tr>
      <w:tr w:rsidR="00527500" w:rsidRPr="00D94C70" w:rsidTr="00527500">
        <w:trPr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527500" w:rsidRPr="00D94C70" w:rsidRDefault="00527500" w:rsidP="00E325BB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学校排名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</w:tcPr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2014-2015QS年轻大学（建校50周年以内）排名世界第3</w:t>
            </w:r>
            <w:r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，</w:t>
            </w: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2016《泰晤士报》排名位居全英第六；英国Highfliers最受顶尖雇主青睐的大学毕业生排名：全英第一</w:t>
            </w:r>
            <w:r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。</w:t>
            </w:r>
          </w:p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2015泰晤士排名第八并荣获“英国年度大学”称号, 有五个单科高居全英第一，分别是：会计与金融，经济学，创意写作，戏剧，以及传媒；2014</w:t>
            </w:r>
            <w:r w:rsidRPr="00D94C70">
              <w:rPr>
                <w:rFonts w:ascii="微软雅黑" w:eastAsia="微软雅黑" w:hAnsi="微软雅黑"/>
                <w:color w:val="auto"/>
                <w:sz w:val="18"/>
                <w:szCs w:val="18"/>
              </w:rPr>
              <w:t xml:space="preserve"> </w:t>
            </w: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REF英语语言文学等专业排名全英第一；</w:t>
            </w:r>
          </w:p>
        </w:tc>
      </w:tr>
      <w:tr w:rsidR="00527500" w:rsidRPr="00D94C70" w:rsidTr="00527500">
        <w:trPr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527500" w:rsidRPr="00D94C70" w:rsidRDefault="00527500" w:rsidP="00E325BB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专业排名</w:t>
            </w:r>
          </w:p>
        </w:tc>
        <w:tc>
          <w:tcPr>
            <w:tcW w:w="4551" w:type="dxa"/>
            <w:gridSpan w:val="2"/>
            <w:shd w:val="clear" w:color="auto" w:fill="F2F2F2" w:themeFill="background1" w:themeFillShade="F2"/>
          </w:tcPr>
          <w:p w:rsidR="0052750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 xml:space="preserve">社会科学和管理（Social Sciences and Management）：世界第34 </w:t>
            </w:r>
          </w:p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 xml:space="preserve">人文科学（Arts &amp; Humanities）：世界第53 </w:t>
            </w:r>
          </w:p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统计学和运筹学：世界第28</w:t>
            </w:r>
          </w:p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 xml:space="preserve">政治和国际研究：世界第44 </w:t>
            </w:r>
          </w:p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经济和计量经济：世界第21</w:t>
            </w:r>
          </w:p>
        </w:tc>
        <w:tc>
          <w:tcPr>
            <w:tcW w:w="4523" w:type="dxa"/>
            <w:gridSpan w:val="2"/>
            <w:shd w:val="clear" w:color="auto" w:fill="F2F2F2" w:themeFill="background1" w:themeFillShade="F2"/>
          </w:tcPr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英语语言文学：世界第16</w:t>
            </w:r>
          </w:p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历史：世界第24</w:t>
            </w:r>
          </w:p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数学：世界第40</w:t>
            </w:r>
          </w:p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社会学：世界第23</w:t>
            </w:r>
          </w:p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法律：世界第38</w:t>
            </w:r>
          </w:p>
          <w:p w:rsidR="00527500" w:rsidRPr="00D94C70" w:rsidRDefault="00527500" w:rsidP="00527500">
            <w:pPr>
              <w:rPr>
                <w:rFonts w:ascii="微软雅黑" w:eastAsia="微软雅黑" w:hAnsi="微软雅黑"/>
                <w:color w:val="auto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auto"/>
                <w:sz w:val="18"/>
                <w:szCs w:val="18"/>
              </w:rPr>
              <w:t>会计与金融：世界第28</w:t>
            </w:r>
          </w:p>
        </w:tc>
      </w:tr>
      <w:tr w:rsidR="00EF5520" w:rsidRPr="00D94C70" w:rsidTr="00527500">
        <w:trPr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EF5520" w:rsidRPr="00D94C70" w:rsidRDefault="00D36491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lastRenderedPageBreak/>
              <w:t>校园</w:t>
            </w:r>
            <w:r w:rsidR="00EF5520"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实景</w:t>
            </w:r>
          </w:p>
        </w:tc>
        <w:tc>
          <w:tcPr>
            <w:tcW w:w="3015" w:type="dxa"/>
            <w:shd w:val="clear" w:color="auto" w:fill="F2F2F2" w:themeFill="background1" w:themeFillShade="F2"/>
            <w:vAlign w:val="center"/>
          </w:tcPr>
          <w:p w:rsidR="00EF5520" w:rsidRPr="00D94C70" w:rsidRDefault="00EF5520" w:rsidP="001C09B8">
            <w:pPr>
              <w:spacing w:line="36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noProof/>
                <w:sz w:val="18"/>
                <w:szCs w:val="18"/>
              </w:rPr>
              <w:drawing>
                <wp:inline distT="0" distB="0" distL="0" distR="0" wp14:anchorId="2E8CDB54" wp14:editId="6CC6EE91">
                  <wp:extent cx="1952979" cy="1098550"/>
                  <wp:effectExtent l="0" t="0" r="9525" b="635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a1.att.hudong.com/41/75/013000006285161261377586673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77" cy="1109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5" w:type="dxa"/>
            <w:gridSpan w:val="2"/>
            <w:shd w:val="clear" w:color="auto" w:fill="F2F2F2" w:themeFill="background1" w:themeFillShade="F2"/>
          </w:tcPr>
          <w:p w:rsidR="00EF5520" w:rsidRPr="00D94C70" w:rsidRDefault="00EF5520" w:rsidP="00577F07">
            <w:pPr>
              <w:spacing w:line="360" w:lineRule="auto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noProof/>
                <w:sz w:val="18"/>
                <w:szCs w:val="18"/>
              </w:rPr>
              <w:drawing>
                <wp:inline distT="0" distB="0" distL="0" distR="0" wp14:anchorId="26BB34B4" wp14:editId="76E192F6">
                  <wp:extent cx="1860550" cy="1139825"/>
                  <wp:effectExtent l="0" t="0" r="6350" b="317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sharewithu.com/dat/college/strategy/201406/201406130600000059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179" cy="1142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8" w:type="dxa"/>
            <w:shd w:val="clear" w:color="auto" w:fill="F2F2F2" w:themeFill="background1" w:themeFillShade="F2"/>
            <w:vAlign w:val="center"/>
          </w:tcPr>
          <w:p w:rsidR="00EF5520" w:rsidRPr="00D94C70" w:rsidRDefault="00EF5520" w:rsidP="001C09B8">
            <w:pPr>
              <w:spacing w:line="360" w:lineRule="auto"/>
              <w:ind w:firstLineChars="50" w:firstLine="9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noProof/>
                <w:sz w:val="18"/>
                <w:szCs w:val="18"/>
              </w:rPr>
              <w:drawing>
                <wp:inline distT="0" distB="0" distL="0" distR="0" wp14:anchorId="46CFE2B3" wp14:editId="3038C645">
                  <wp:extent cx="1816100" cy="1101725"/>
                  <wp:effectExtent l="0" t="0" r="0" b="317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g.bimg.126.net/photo/J1lYWTWcFzipBzubqwpX-g==/4483896379170878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28" cy="1102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520" w:rsidRPr="00D94C70" w:rsidTr="00527500">
        <w:trPr>
          <w:trHeight w:val="128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EF5520" w:rsidRPr="00D94C70" w:rsidRDefault="00EF5520" w:rsidP="00577F07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大学课程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  <w:vAlign w:val="center"/>
          </w:tcPr>
          <w:p w:rsidR="00EF5520" w:rsidRPr="00D94C70" w:rsidRDefault="00796672" w:rsidP="00577F07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sz w:val="18"/>
                <w:szCs w:val="18"/>
              </w:rPr>
              <w:t>华威大学</w:t>
            </w:r>
            <w:r w:rsidR="00EB552D" w:rsidRPr="00D94C70">
              <w:rPr>
                <w:rFonts w:ascii="微软雅黑" w:eastAsia="微软雅黑" w:hAnsi="微软雅黑"/>
                <w:sz w:val="18"/>
                <w:szCs w:val="18"/>
              </w:rPr>
              <w:t>的课程内容丰富，并且</w:t>
            </w:r>
            <w:r w:rsidR="00EF5520" w:rsidRPr="00D94C70">
              <w:rPr>
                <w:rFonts w:ascii="微软雅黑" w:eastAsia="微软雅黑" w:hAnsi="微软雅黑"/>
                <w:sz w:val="18"/>
                <w:szCs w:val="18"/>
              </w:rPr>
              <w:t>由经验丰富的</w:t>
            </w:r>
            <w:r w:rsidR="00EB552D" w:rsidRPr="00D94C70">
              <w:rPr>
                <w:rFonts w:ascii="微软雅黑" w:eastAsia="微软雅黑" w:hAnsi="微软雅黑" w:hint="eastAsia"/>
                <w:sz w:val="18"/>
                <w:szCs w:val="18"/>
              </w:rPr>
              <w:t>讲师或</w:t>
            </w:r>
            <w:r w:rsidR="00EB552D" w:rsidRPr="00D94C70">
              <w:rPr>
                <w:rFonts w:ascii="微软雅黑" w:eastAsia="微软雅黑" w:hAnsi="微软雅黑"/>
                <w:sz w:val="18"/>
                <w:szCs w:val="18"/>
              </w:rPr>
              <w:t>教授执教</w:t>
            </w:r>
            <w:r w:rsidR="00EF5520" w:rsidRPr="00D94C70">
              <w:rPr>
                <w:rFonts w:ascii="微软雅黑" w:eastAsia="微软雅黑" w:hAnsi="微软雅黑" w:hint="eastAsia"/>
                <w:sz w:val="18"/>
                <w:szCs w:val="18"/>
              </w:rPr>
              <w:t>，</w:t>
            </w:r>
            <w:r w:rsidR="00EF5520" w:rsidRPr="00D94C70">
              <w:rPr>
                <w:rFonts w:ascii="微软雅黑" w:eastAsia="微软雅黑" w:hAnsi="微软雅黑"/>
                <w:sz w:val="18"/>
                <w:szCs w:val="18"/>
              </w:rPr>
              <w:t>大部分老师都是在他们自己研究领域中的专家</w:t>
            </w:r>
            <w:r w:rsidR="00EF5520" w:rsidRPr="00D94C70">
              <w:rPr>
                <w:rFonts w:ascii="微软雅黑" w:eastAsia="微软雅黑" w:hAnsi="微软雅黑" w:hint="eastAsia"/>
                <w:sz w:val="18"/>
                <w:szCs w:val="18"/>
              </w:rPr>
              <w:t>，</w:t>
            </w:r>
            <w:r w:rsidR="00EF5520" w:rsidRPr="00D94C70">
              <w:rPr>
                <w:rFonts w:ascii="微软雅黑" w:eastAsia="微软雅黑" w:hAnsi="微软雅黑"/>
                <w:sz w:val="18"/>
                <w:szCs w:val="18"/>
              </w:rPr>
              <w:t>同时教授的课程和工作也有着直接的联系</w:t>
            </w:r>
            <w:r w:rsidR="00EF5520" w:rsidRPr="00D94C70">
              <w:rPr>
                <w:rFonts w:ascii="微软雅黑" w:eastAsia="微软雅黑" w:hAnsi="微软雅黑" w:hint="eastAsia"/>
                <w:sz w:val="18"/>
                <w:szCs w:val="18"/>
              </w:rPr>
              <w:t>，</w:t>
            </w:r>
            <w:r w:rsidR="00EF5520" w:rsidRPr="00D94C70">
              <w:rPr>
                <w:rFonts w:ascii="微软雅黑" w:eastAsia="微软雅黑" w:hAnsi="微软雅黑"/>
                <w:sz w:val="18"/>
                <w:szCs w:val="18"/>
              </w:rPr>
              <w:t>课程不仅专业且有趣</w:t>
            </w:r>
            <w:r w:rsidR="00EF5520" w:rsidRPr="00D94C70">
              <w:rPr>
                <w:rFonts w:ascii="微软雅黑" w:eastAsia="微软雅黑" w:hAnsi="微软雅黑" w:hint="eastAsia"/>
                <w:sz w:val="18"/>
                <w:szCs w:val="18"/>
              </w:rPr>
              <w:t>，老师会提供十分有价值的建议和实用的意见。</w:t>
            </w:r>
          </w:p>
        </w:tc>
      </w:tr>
      <w:tr w:rsidR="00EF5520" w:rsidRPr="00D94C70" w:rsidTr="00527500">
        <w:trPr>
          <w:trHeight w:val="128"/>
          <w:tblCellSpacing w:w="28" w:type="dxa"/>
          <w:jc w:val="center"/>
        </w:trPr>
        <w:tc>
          <w:tcPr>
            <w:tcW w:w="1050" w:type="dxa"/>
            <w:vMerge w:val="restart"/>
            <w:shd w:val="clear" w:color="auto" w:fill="2E74B5" w:themeFill="accent5" w:themeFillShade="BF"/>
            <w:vAlign w:val="center"/>
          </w:tcPr>
          <w:p w:rsidR="00EF5520" w:rsidRPr="00D94C70" w:rsidRDefault="00EF5520" w:rsidP="00577F07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校园活动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  <w:vAlign w:val="center"/>
          </w:tcPr>
          <w:p w:rsidR="00EF5520" w:rsidRPr="00D94C70" w:rsidRDefault="00EF5520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微软雅黑" w:eastAsia="微软雅黑" w:hAnsi="微软雅黑"/>
                <w:noProof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sz w:val="18"/>
                <w:szCs w:val="18"/>
              </w:rPr>
              <w:t>在</w:t>
            </w:r>
            <w:r w:rsidR="00796672" w:rsidRPr="00D94C70">
              <w:rPr>
                <w:rFonts w:ascii="微软雅黑" w:eastAsia="微软雅黑" w:hAnsi="微软雅黑" w:hint="eastAsia"/>
                <w:sz w:val="18"/>
                <w:szCs w:val="18"/>
              </w:rPr>
              <w:t>华威大学（伦敦）</w:t>
            </w:r>
            <w:r w:rsidRPr="00D94C70">
              <w:rPr>
                <w:rFonts w:ascii="微软雅黑" w:eastAsia="微软雅黑" w:hAnsi="微软雅黑" w:hint="eastAsia"/>
                <w:sz w:val="18"/>
                <w:szCs w:val="18"/>
              </w:rPr>
              <w:t>校园</w:t>
            </w:r>
            <w:r w:rsidR="007C2A44" w:rsidRPr="00D94C70">
              <w:rPr>
                <w:rFonts w:ascii="微软雅黑" w:eastAsia="微软雅黑" w:hAnsi="微软雅黑" w:hint="eastAsia"/>
                <w:sz w:val="18"/>
                <w:szCs w:val="18"/>
              </w:rPr>
              <w:t>有</w:t>
            </w:r>
            <w:r w:rsidR="001C09B8" w:rsidRPr="00D94C70">
              <w:rPr>
                <w:rFonts w:ascii="微软雅黑" w:eastAsia="微软雅黑" w:hAnsi="微软雅黑" w:hint="eastAsia"/>
                <w:sz w:val="18"/>
                <w:szCs w:val="18"/>
              </w:rPr>
              <w:t>不同的</w:t>
            </w:r>
            <w:r w:rsidR="007C2A44" w:rsidRPr="00D94C70">
              <w:rPr>
                <w:rFonts w:ascii="微软雅黑" w:eastAsia="微软雅黑" w:hAnsi="微软雅黑" w:hint="eastAsia"/>
                <w:sz w:val="18"/>
                <w:szCs w:val="18"/>
              </w:rPr>
              <w:t>俱乐部和组织可以参加</w:t>
            </w:r>
            <w:r w:rsidR="001C09B8" w:rsidRPr="00D94C70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  <w:r w:rsidRPr="00D94C70">
              <w:rPr>
                <w:rFonts w:ascii="微软雅黑" w:eastAsia="微软雅黑" w:hAnsi="微软雅黑" w:hint="eastAsia"/>
                <w:sz w:val="18"/>
                <w:szCs w:val="18"/>
              </w:rPr>
              <w:t>一天学习之后，可以选择</w:t>
            </w:r>
            <w:r w:rsidR="007C2A44" w:rsidRPr="00D94C70">
              <w:rPr>
                <w:rFonts w:ascii="微软雅黑" w:eastAsia="微软雅黑" w:hAnsi="微软雅黑" w:hint="eastAsia"/>
                <w:sz w:val="18"/>
                <w:szCs w:val="18"/>
              </w:rPr>
              <w:t>参加或</w:t>
            </w:r>
            <w:r w:rsidRPr="00D94C70">
              <w:rPr>
                <w:rFonts w:ascii="微软雅黑" w:eastAsia="微软雅黑" w:hAnsi="微软雅黑" w:hint="eastAsia"/>
                <w:sz w:val="18"/>
                <w:szCs w:val="18"/>
              </w:rPr>
              <w:t>观看</w:t>
            </w:r>
            <w:r w:rsidR="007C2A44" w:rsidRPr="00D94C70">
              <w:rPr>
                <w:rFonts w:ascii="微软雅黑" w:eastAsia="微软雅黑" w:hAnsi="微软雅黑" w:hint="eastAsia"/>
                <w:sz w:val="18"/>
                <w:szCs w:val="18"/>
              </w:rPr>
              <w:t>校内各项体育赛事</w:t>
            </w:r>
          </w:p>
        </w:tc>
      </w:tr>
      <w:tr w:rsidR="00EF5520" w:rsidRPr="00D94C70" w:rsidTr="00527500">
        <w:trPr>
          <w:trHeight w:val="127"/>
          <w:tblCellSpacing w:w="28" w:type="dxa"/>
          <w:jc w:val="center"/>
        </w:trPr>
        <w:tc>
          <w:tcPr>
            <w:tcW w:w="1050" w:type="dxa"/>
            <w:vMerge/>
            <w:shd w:val="clear" w:color="auto" w:fill="2E74B5" w:themeFill="accent5" w:themeFillShade="BF"/>
            <w:vAlign w:val="center"/>
          </w:tcPr>
          <w:p w:rsidR="00EF5520" w:rsidRPr="00D94C70" w:rsidRDefault="00EF5520" w:rsidP="00577F07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15" w:type="dxa"/>
            <w:shd w:val="clear" w:color="auto" w:fill="F2F2F2" w:themeFill="background1" w:themeFillShade="F2"/>
            <w:vAlign w:val="center"/>
          </w:tcPr>
          <w:p w:rsidR="00EF5520" w:rsidRPr="00D94C70" w:rsidRDefault="00EF5520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微软雅黑" w:eastAsia="微软雅黑" w:hAnsi="微软雅黑"/>
                <w:noProof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noProof/>
                <w:sz w:val="18"/>
                <w:szCs w:val="18"/>
              </w:rPr>
              <w:drawing>
                <wp:inline distT="0" distB="0" distL="0" distR="0" wp14:anchorId="0D1B055C" wp14:editId="60A9480D">
                  <wp:extent cx="1717571" cy="1061720"/>
                  <wp:effectExtent l="0" t="0" r="0" b="5080"/>
                  <wp:docPr id="474" name="图片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856" cy="1065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5" w:type="dxa"/>
            <w:gridSpan w:val="2"/>
            <w:shd w:val="clear" w:color="auto" w:fill="F2F2F2" w:themeFill="background1" w:themeFillShade="F2"/>
            <w:vAlign w:val="center"/>
          </w:tcPr>
          <w:p w:rsidR="00EF5520" w:rsidRPr="00D94C70" w:rsidRDefault="00EF5520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微软雅黑" w:eastAsia="微软雅黑" w:hAnsi="微软雅黑"/>
                <w:noProof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noProof/>
                <w:sz w:val="18"/>
                <w:szCs w:val="18"/>
              </w:rPr>
              <w:drawing>
                <wp:inline distT="0" distB="0" distL="0" distR="0" wp14:anchorId="593E0C50" wp14:editId="3C6B40FD">
                  <wp:extent cx="1649225" cy="1098597"/>
                  <wp:effectExtent l="0" t="0" r="8255" b="6350"/>
                  <wp:docPr id="475" name="图片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225" cy="10985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8" w:type="dxa"/>
            <w:shd w:val="clear" w:color="auto" w:fill="F2F2F2" w:themeFill="background1" w:themeFillShade="F2"/>
            <w:vAlign w:val="center"/>
          </w:tcPr>
          <w:p w:rsidR="00EF5520" w:rsidRPr="00D94C70" w:rsidRDefault="00EF5520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微软雅黑" w:eastAsia="微软雅黑" w:hAnsi="微软雅黑"/>
                <w:noProof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noProof/>
                <w:sz w:val="18"/>
                <w:szCs w:val="18"/>
              </w:rPr>
              <w:drawing>
                <wp:inline distT="0" distB="0" distL="0" distR="0" wp14:anchorId="79A90146" wp14:editId="63A2D2B0">
                  <wp:extent cx="1676977" cy="1061138"/>
                  <wp:effectExtent l="0" t="0" r="0" b="5715"/>
                  <wp:docPr id="476" name="图片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ile28.mafengwo.net/M00/09/F3/wKgB6lQSSjCAaVsuAAVDucLdtU438.groupinfo.w6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977" cy="1061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520" w:rsidRPr="00D94C70" w:rsidTr="00527500">
        <w:trPr>
          <w:trHeight w:val="383"/>
          <w:tblCellSpacing w:w="28" w:type="dxa"/>
          <w:jc w:val="center"/>
        </w:trPr>
        <w:tc>
          <w:tcPr>
            <w:tcW w:w="1050" w:type="dxa"/>
            <w:vMerge w:val="restart"/>
            <w:shd w:val="clear" w:color="auto" w:fill="2E74B5" w:themeFill="accent5" w:themeFillShade="BF"/>
            <w:vAlign w:val="center"/>
          </w:tcPr>
          <w:p w:rsidR="00EF5520" w:rsidRPr="00D94C70" w:rsidRDefault="00EF5520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文化体验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  <w:vAlign w:val="center"/>
          </w:tcPr>
          <w:p w:rsidR="00EF5520" w:rsidRPr="00D94C70" w:rsidRDefault="001C09B8" w:rsidP="00577F07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sz w:val="18"/>
                <w:szCs w:val="18"/>
              </w:rPr>
              <w:t>在课余时间，学员将有机会充分探索伦敦魅力：白金汉宫、大本钟、伦敦眼</w:t>
            </w:r>
            <w:r w:rsidR="0084585E" w:rsidRPr="00D94C70">
              <w:rPr>
                <w:rFonts w:ascii="微软雅黑" w:eastAsia="微软雅黑" w:hAnsi="微软雅黑" w:hint="eastAsia"/>
                <w:sz w:val="18"/>
                <w:szCs w:val="18"/>
              </w:rPr>
              <w:t>、牛津街</w:t>
            </w:r>
            <w:r w:rsidRPr="00D94C70">
              <w:rPr>
                <w:rFonts w:ascii="微软雅黑" w:eastAsia="微软雅黑" w:hAnsi="微软雅黑" w:hint="eastAsia"/>
                <w:sz w:val="18"/>
                <w:szCs w:val="18"/>
              </w:rPr>
              <w:t>…同时提升跨文化沟通技能。</w:t>
            </w:r>
          </w:p>
        </w:tc>
      </w:tr>
      <w:tr w:rsidR="00EF5520" w:rsidRPr="00D94C70" w:rsidTr="00527500">
        <w:trPr>
          <w:trHeight w:val="382"/>
          <w:tblCellSpacing w:w="28" w:type="dxa"/>
          <w:jc w:val="center"/>
        </w:trPr>
        <w:tc>
          <w:tcPr>
            <w:tcW w:w="1050" w:type="dxa"/>
            <w:vMerge/>
            <w:shd w:val="clear" w:color="auto" w:fill="2E74B5" w:themeFill="accent5" w:themeFillShade="BF"/>
            <w:vAlign w:val="center"/>
          </w:tcPr>
          <w:p w:rsidR="00EF5520" w:rsidRPr="00D94C70" w:rsidRDefault="00EF5520" w:rsidP="00577F0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015" w:type="dxa"/>
            <w:shd w:val="clear" w:color="auto" w:fill="F2F2F2" w:themeFill="background1" w:themeFillShade="F2"/>
            <w:vAlign w:val="center"/>
          </w:tcPr>
          <w:p w:rsidR="00EF5520" w:rsidRPr="00D94C70" w:rsidRDefault="001C09B8" w:rsidP="00577F07">
            <w:pPr>
              <w:jc w:val="center"/>
              <w:rPr>
                <w:rFonts w:ascii="微软雅黑" w:eastAsia="微软雅黑" w:hAnsi="微软雅黑"/>
                <w:noProof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noProof/>
                <w:sz w:val="18"/>
                <w:szCs w:val="18"/>
              </w:rPr>
              <w:drawing>
                <wp:inline distT="0" distB="0" distL="0" distR="0">
                  <wp:extent cx="1721155" cy="1083213"/>
                  <wp:effectExtent l="0" t="0" r="0" b="317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hoto_cambridge_20170211_017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914" cy="1088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5520" w:rsidRPr="00D94C70" w:rsidRDefault="001C09B8" w:rsidP="00577F07">
            <w:pPr>
              <w:jc w:val="center"/>
              <w:rPr>
                <w:rFonts w:ascii="微软雅黑" w:eastAsia="微软雅黑" w:hAnsi="微软雅黑"/>
                <w:noProof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noProof/>
                <w:sz w:val="18"/>
                <w:szCs w:val="18"/>
              </w:rPr>
              <w:t>大本钟</w:t>
            </w:r>
          </w:p>
        </w:tc>
        <w:tc>
          <w:tcPr>
            <w:tcW w:w="3015" w:type="dxa"/>
            <w:gridSpan w:val="2"/>
            <w:shd w:val="clear" w:color="auto" w:fill="F2F2F2" w:themeFill="background1" w:themeFillShade="F2"/>
            <w:vAlign w:val="center"/>
          </w:tcPr>
          <w:p w:rsidR="00EF5520" w:rsidRPr="00D94C70" w:rsidRDefault="001C09B8" w:rsidP="00577F07">
            <w:pPr>
              <w:jc w:val="center"/>
              <w:rPr>
                <w:rFonts w:ascii="微软雅黑" w:eastAsia="微软雅黑" w:hAnsi="微软雅黑"/>
                <w:noProof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noProof/>
                <w:sz w:val="18"/>
                <w:szCs w:val="18"/>
              </w:rPr>
              <w:drawing>
                <wp:inline distT="0" distB="0" distL="0" distR="0">
                  <wp:extent cx="1681089" cy="1147332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90" cy="1159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5520" w:rsidRPr="00D94C70" w:rsidRDefault="001C09B8" w:rsidP="00577F07">
            <w:pPr>
              <w:jc w:val="center"/>
              <w:rPr>
                <w:rFonts w:ascii="微软雅黑" w:eastAsia="微软雅黑" w:hAnsi="微软雅黑"/>
                <w:noProof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noProof/>
                <w:sz w:val="18"/>
                <w:szCs w:val="18"/>
              </w:rPr>
              <w:t>伦敦眼</w:t>
            </w:r>
          </w:p>
        </w:tc>
        <w:tc>
          <w:tcPr>
            <w:tcW w:w="2988" w:type="dxa"/>
            <w:shd w:val="clear" w:color="auto" w:fill="F2F2F2" w:themeFill="background1" w:themeFillShade="F2"/>
            <w:vAlign w:val="center"/>
          </w:tcPr>
          <w:p w:rsidR="00EF5520" w:rsidRPr="00D94C70" w:rsidRDefault="00EF5520" w:rsidP="00577F07">
            <w:pPr>
              <w:jc w:val="center"/>
              <w:rPr>
                <w:rFonts w:ascii="微软雅黑" w:eastAsia="微软雅黑" w:hAnsi="微软雅黑"/>
                <w:noProof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noProof/>
                <w:sz w:val="18"/>
                <w:szCs w:val="18"/>
              </w:rPr>
              <w:drawing>
                <wp:inline distT="0" distB="0" distL="0" distR="0" wp14:anchorId="7C175823" wp14:editId="269D1E7E">
                  <wp:extent cx="1691057" cy="1106454"/>
                  <wp:effectExtent l="0" t="0" r="4445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1" descr="C:\Users\ZHIYI\AppData\Local\Microsoft\Windows\INetCache\Content.Word\photo_ucla_20150207_hd_0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6944" cy="1110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5520" w:rsidRPr="00D94C70" w:rsidRDefault="0084585E" w:rsidP="00577F07">
            <w:pPr>
              <w:jc w:val="center"/>
              <w:rPr>
                <w:rFonts w:ascii="微软雅黑" w:eastAsia="微软雅黑" w:hAnsi="微软雅黑"/>
                <w:noProof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noProof/>
                <w:sz w:val="18"/>
                <w:szCs w:val="18"/>
              </w:rPr>
              <w:t>牛津街</w:t>
            </w:r>
          </w:p>
        </w:tc>
      </w:tr>
    </w:tbl>
    <w:p w:rsidR="00EF5520" w:rsidRPr="00D94C70" w:rsidRDefault="00EF5520" w:rsidP="00D94C70">
      <w:pPr>
        <w:pStyle w:val="12"/>
      </w:pPr>
      <w:r w:rsidRPr="00D94C70">
        <w:rPr>
          <w:rFonts w:hint="eastAsia"/>
        </w:rPr>
        <w:t>后勤支持</w:t>
      </w:r>
    </w:p>
    <w:tbl>
      <w:tblPr>
        <w:tblStyle w:val="a8"/>
        <w:tblW w:w="10348" w:type="dxa"/>
        <w:jc w:val="center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2410"/>
        <w:gridCol w:w="2551"/>
        <w:gridCol w:w="2835"/>
      </w:tblGrid>
      <w:tr w:rsidR="00BA7B10" w:rsidRPr="00D94C70" w:rsidTr="00BA7B10">
        <w:trPr>
          <w:trHeight w:val="454"/>
          <w:tblCellSpacing w:w="28" w:type="dxa"/>
          <w:jc w:val="center"/>
        </w:trPr>
        <w:tc>
          <w:tcPr>
            <w:tcW w:w="1050" w:type="dxa"/>
            <w:vMerge w:val="restart"/>
            <w:shd w:val="clear" w:color="auto" w:fill="2E74B5" w:themeFill="accent5" w:themeFillShade="BF"/>
            <w:vAlign w:val="center"/>
          </w:tcPr>
          <w:p w:rsidR="00BA7B10" w:rsidRPr="00D94C70" w:rsidRDefault="006671B6" w:rsidP="00577F07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华威</w:t>
            </w:r>
            <w:r w:rsidR="00BA7B10"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住宿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  <w:vAlign w:val="center"/>
          </w:tcPr>
          <w:p w:rsidR="00EB413C" w:rsidRPr="00EB413C" w:rsidRDefault="006671B6" w:rsidP="00BA7B10">
            <w:pPr>
              <w:jc w:val="both"/>
              <w:rPr>
                <w:rFonts w:ascii="微软雅黑" w:eastAsia="微软雅黑" w:hAnsi="微软雅黑"/>
                <w:noProof/>
                <w:color w:val="000000" w:themeColor="text1"/>
                <w:sz w:val="18"/>
                <w:szCs w:val="18"/>
              </w:rPr>
            </w:pPr>
            <w:r w:rsidRPr="006671B6">
              <w:rPr>
                <w:rFonts w:ascii="微软雅黑" w:eastAsia="微软雅黑" w:hAnsi="微软雅黑" w:hint="eastAsia"/>
                <w:b/>
                <w:noProof/>
                <w:color w:val="000000" w:themeColor="text1"/>
                <w:sz w:val="18"/>
                <w:szCs w:val="18"/>
              </w:rPr>
              <w:t>前三周</w:t>
            </w:r>
            <w:r w:rsidR="00EB413C" w:rsidRPr="006671B6">
              <w:rPr>
                <w:rFonts w:ascii="微软雅黑" w:eastAsia="微软雅黑" w:hAnsi="微软雅黑" w:hint="eastAsia"/>
                <w:b/>
                <w:noProof/>
                <w:color w:val="000000" w:themeColor="text1"/>
                <w:sz w:val="18"/>
                <w:szCs w:val="18"/>
              </w:rPr>
              <w:t>住宿</w:t>
            </w:r>
            <w:r w:rsidR="00EB413C" w:rsidRP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都位于伦敦圣玛丽大学中央校园内，步行几分钟即可到</w:t>
            </w:r>
            <w:r w:rsid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教</w:t>
            </w:r>
            <w:r w:rsidR="00EB413C" w:rsidRP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室，</w:t>
            </w:r>
            <w:r w:rsid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校园</w:t>
            </w:r>
            <w:r w:rsidR="00EB413C" w:rsidRP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步行</w:t>
            </w:r>
            <w:r w:rsid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至</w:t>
            </w:r>
            <w:r w:rsidR="00EB413C" w:rsidRP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草莓山</w:t>
            </w:r>
            <w:r w:rsid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车</w:t>
            </w:r>
            <w:r w:rsidR="00EB413C" w:rsidRP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站仅2分钟</w:t>
            </w:r>
            <w:r w:rsid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路程</w:t>
            </w:r>
            <w:r w:rsidR="00EB413C" w:rsidRPr="00EB413C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。每间校园宿舍都有公共厨房，厨房电器包括微波炉，水壶，烤面包机和冰箱。圣玛丽校园周围还有许多公共休息空间，学生可以轻松地与所有暑期学校的学生进行沟通与合作。校园内免费提供Wi-Fi。</w:t>
            </w:r>
          </w:p>
          <w:p w:rsidR="00BA7B10" w:rsidRPr="00BA7B10" w:rsidRDefault="00BA7B10" w:rsidP="00BA7B10">
            <w:pPr>
              <w:jc w:val="both"/>
              <w:rPr>
                <w:rFonts w:ascii="微软雅黑" w:eastAsia="微软雅黑" w:hAnsi="微软雅黑"/>
                <w:b/>
                <w:noProof/>
                <w:color w:val="000000" w:themeColor="text1"/>
                <w:sz w:val="18"/>
                <w:szCs w:val="18"/>
              </w:rPr>
            </w:pPr>
            <w:r w:rsidRPr="00BA7B10">
              <w:rPr>
                <w:rFonts w:ascii="微软雅黑" w:eastAsia="微软雅黑" w:hAnsi="微软雅黑" w:hint="eastAsia"/>
                <w:b/>
                <w:noProof/>
                <w:color w:val="000000" w:themeColor="text1"/>
                <w:sz w:val="18"/>
                <w:szCs w:val="18"/>
              </w:rPr>
              <w:t>学生可以根据自己需求选</w:t>
            </w:r>
            <w:r w:rsidR="008B2EA9">
              <w:rPr>
                <w:rFonts w:ascii="微软雅黑" w:eastAsia="微软雅黑" w:hAnsi="微软雅黑" w:hint="eastAsia"/>
                <w:b/>
                <w:noProof/>
                <w:color w:val="000000" w:themeColor="text1"/>
                <w:sz w:val="18"/>
                <w:szCs w:val="18"/>
              </w:rPr>
              <w:t>住如下</w:t>
            </w:r>
            <w:r w:rsidRPr="00BA7B10">
              <w:rPr>
                <w:rFonts w:ascii="微软雅黑" w:eastAsia="微软雅黑" w:hAnsi="微软雅黑" w:hint="eastAsia"/>
                <w:b/>
                <w:noProof/>
                <w:color w:val="000000" w:themeColor="text1"/>
                <w:sz w:val="18"/>
                <w:szCs w:val="18"/>
              </w:rPr>
              <w:t>宿舍</w:t>
            </w:r>
            <w:r w:rsidR="008B2EA9" w:rsidRPr="008B2EA9">
              <w:rPr>
                <w:rFonts w:ascii="微软雅黑" w:eastAsia="微软雅黑" w:hAnsi="微软雅黑" w:hint="eastAsia"/>
                <w:noProof/>
                <w:color w:val="000000" w:themeColor="text1"/>
                <w:sz w:val="18"/>
                <w:szCs w:val="18"/>
              </w:rPr>
              <w:t>（各个宿舍名额有限，先选先得）</w:t>
            </w:r>
            <w:r w:rsidRPr="00BA7B10">
              <w:rPr>
                <w:rFonts w:ascii="微软雅黑" w:eastAsia="微软雅黑" w:hAnsi="微软雅黑" w:hint="eastAsia"/>
                <w:b/>
                <w:noProof/>
                <w:color w:val="000000" w:themeColor="text1"/>
                <w:sz w:val="18"/>
                <w:szCs w:val="18"/>
              </w:rPr>
              <w:t>：</w:t>
            </w:r>
          </w:p>
        </w:tc>
      </w:tr>
      <w:tr w:rsidR="00BA7B10" w:rsidRPr="00D94C70" w:rsidTr="00BA7B10">
        <w:trPr>
          <w:trHeight w:val="209"/>
          <w:tblCellSpacing w:w="28" w:type="dxa"/>
          <w:jc w:val="center"/>
        </w:trPr>
        <w:tc>
          <w:tcPr>
            <w:tcW w:w="1050" w:type="dxa"/>
            <w:vMerge/>
            <w:shd w:val="clear" w:color="auto" w:fill="2E74B5" w:themeFill="accent5" w:themeFillShade="BF"/>
            <w:vAlign w:val="center"/>
          </w:tcPr>
          <w:p w:rsidR="00BA7B10" w:rsidRPr="00D94C70" w:rsidRDefault="00BA7B10" w:rsidP="00BA7B10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62" w:type="dxa"/>
            <w:shd w:val="clear" w:color="auto" w:fill="F2F2F2" w:themeFill="background1" w:themeFillShade="F2"/>
            <w:vAlign w:val="center"/>
          </w:tcPr>
          <w:p w:rsidR="00BA7B10" w:rsidRPr="00BA7B10" w:rsidRDefault="00BA7B10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BA7B10">
              <w:rPr>
                <w:rFonts w:ascii="微软雅黑" w:eastAsia="微软雅黑" w:hAnsi="微软雅黑" w:hint="eastAsia"/>
                <w:sz w:val="18"/>
                <w:szCs w:val="18"/>
              </w:rPr>
              <w:t>住宿可选项</w:t>
            </w:r>
          </w:p>
        </w:tc>
        <w:tc>
          <w:tcPr>
            <w:tcW w:w="2354" w:type="dxa"/>
            <w:shd w:val="clear" w:color="auto" w:fill="F2F2F2" w:themeFill="background1" w:themeFillShade="F2"/>
            <w:vAlign w:val="center"/>
          </w:tcPr>
          <w:p w:rsidR="00BA7B10" w:rsidRDefault="00BA7B10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BA7B10">
              <w:rPr>
                <w:rFonts w:ascii="微软雅黑" w:eastAsia="微软雅黑" w:hAnsi="微软雅黑"/>
                <w:sz w:val="18"/>
                <w:szCs w:val="18"/>
              </w:rPr>
              <w:t>Clive Halls of Residence</w:t>
            </w:r>
          </w:p>
          <w:p w:rsidR="00BA7B10" w:rsidRPr="00BA7B10" w:rsidRDefault="00BA7B10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BA7B10">
              <w:rPr>
                <w:rFonts w:ascii="微软雅黑" w:eastAsia="微软雅黑" w:hAnsi="微软雅黑" w:hint="eastAsia"/>
                <w:sz w:val="18"/>
                <w:szCs w:val="18"/>
              </w:rPr>
              <w:t>（单人间、公共卫浴）</w:t>
            </w:r>
          </w:p>
        </w:tc>
        <w:tc>
          <w:tcPr>
            <w:tcW w:w="2495" w:type="dxa"/>
            <w:shd w:val="clear" w:color="auto" w:fill="F2F2F2" w:themeFill="background1" w:themeFillShade="F2"/>
            <w:vAlign w:val="center"/>
          </w:tcPr>
          <w:p w:rsidR="00BA7B10" w:rsidRDefault="00BA7B10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BA7B10">
              <w:rPr>
                <w:rFonts w:ascii="微软雅黑" w:eastAsia="微软雅黑" w:hAnsi="微软雅黑"/>
                <w:sz w:val="18"/>
                <w:szCs w:val="18"/>
              </w:rPr>
              <w:t>Doyle Halls of Residence</w:t>
            </w:r>
          </w:p>
          <w:p w:rsidR="00BA7B10" w:rsidRPr="00BA7B10" w:rsidRDefault="00BA7B10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BA7B10">
              <w:rPr>
                <w:rFonts w:ascii="微软雅黑" w:eastAsia="微软雅黑" w:hAnsi="微软雅黑" w:hint="eastAsia"/>
                <w:sz w:val="18"/>
                <w:szCs w:val="18"/>
              </w:rPr>
              <w:t>（单人间、公共卫浴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）</w:t>
            </w:r>
          </w:p>
        </w:tc>
        <w:tc>
          <w:tcPr>
            <w:tcW w:w="2751" w:type="dxa"/>
            <w:shd w:val="clear" w:color="auto" w:fill="F2F2F2" w:themeFill="background1" w:themeFillShade="F2"/>
            <w:vAlign w:val="center"/>
          </w:tcPr>
          <w:p w:rsidR="00BA7B10" w:rsidRDefault="00BA7B10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BA7B10">
              <w:rPr>
                <w:rFonts w:ascii="微软雅黑" w:eastAsia="微软雅黑" w:hAnsi="微软雅黑"/>
                <w:sz w:val="18"/>
                <w:szCs w:val="18"/>
              </w:rPr>
              <w:t>De Marillac Halls of Residence</w:t>
            </w:r>
          </w:p>
          <w:p w:rsidR="00BA7B10" w:rsidRPr="00BA7B10" w:rsidRDefault="00BA7B10" w:rsidP="00BA7B10">
            <w:pPr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BA7B10">
              <w:rPr>
                <w:rFonts w:ascii="微软雅黑" w:eastAsia="微软雅黑" w:hAnsi="微软雅黑" w:hint="eastAsia"/>
                <w:sz w:val="18"/>
                <w:szCs w:val="18"/>
              </w:rPr>
              <w:t>（单人间、独立卫浴</w:t>
            </w:r>
          </w:p>
        </w:tc>
      </w:tr>
      <w:tr w:rsidR="00BA7B10" w:rsidRPr="00D94C70" w:rsidTr="00BA7B10">
        <w:trPr>
          <w:trHeight w:val="207"/>
          <w:tblCellSpacing w:w="28" w:type="dxa"/>
          <w:jc w:val="center"/>
        </w:trPr>
        <w:tc>
          <w:tcPr>
            <w:tcW w:w="1050" w:type="dxa"/>
            <w:vMerge/>
            <w:shd w:val="clear" w:color="auto" w:fill="2E74B5" w:themeFill="accent5" w:themeFillShade="BF"/>
            <w:vAlign w:val="center"/>
          </w:tcPr>
          <w:p w:rsidR="00BA7B10" w:rsidRPr="00D94C70" w:rsidRDefault="00BA7B10" w:rsidP="00BA7B10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62" w:type="dxa"/>
            <w:shd w:val="clear" w:color="auto" w:fill="F2F2F2" w:themeFill="background1" w:themeFillShade="F2"/>
            <w:vAlign w:val="center"/>
          </w:tcPr>
          <w:p w:rsidR="00BA7B10" w:rsidRPr="00BA7B10" w:rsidRDefault="00BA7B10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BA7B10">
              <w:rPr>
                <w:rFonts w:ascii="微软雅黑" w:eastAsia="微软雅黑" w:hAnsi="微软雅黑" w:hint="eastAsia"/>
                <w:sz w:val="18"/>
                <w:szCs w:val="18"/>
              </w:rPr>
              <w:t>房费（不含餐）</w:t>
            </w:r>
          </w:p>
        </w:tc>
        <w:tc>
          <w:tcPr>
            <w:tcW w:w="2354" w:type="dxa"/>
            <w:shd w:val="clear" w:color="auto" w:fill="F2F2F2" w:themeFill="background1" w:themeFillShade="F2"/>
            <w:vAlign w:val="center"/>
          </w:tcPr>
          <w:p w:rsidR="00BA7B10" w:rsidRPr="00BA7B10" w:rsidRDefault="00160F71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5940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元</w:t>
            </w:r>
          </w:p>
        </w:tc>
        <w:tc>
          <w:tcPr>
            <w:tcW w:w="2495" w:type="dxa"/>
            <w:shd w:val="clear" w:color="auto" w:fill="F2F2F2" w:themeFill="background1" w:themeFillShade="F2"/>
            <w:vAlign w:val="center"/>
          </w:tcPr>
          <w:p w:rsidR="00BA7B10" w:rsidRPr="00BA7B10" w:rsidRDefault="00160F71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6570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元</w:t>
            </w:r>
          </w:p>
        </w:tc>
        <w:tc>
          <w:tcPr>
            <w:tcW w:w="2751" w:type="dxa"/>
            <w:shd w:val="clear" w:color="auto" w:fill="F2F2F2" w:themeFill="background1" w:themeFillShade="F2"/>
            <w:vAlign w:val="center"/>
          </w:tcPr>
          <w:p w:rsidR="00BA7B10" w:rsidRPr="00BA7B10" w:rsidRDefault="00160F71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8100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元</w:t>
            </w:r>
          </w:p>
        </w:tc>
      </w:tr>
      <w:tr w:rsidR="00BA7B10" w:rsidRPr="00D94C70" w:rsidTr="00BA7B10">
        <w:trPr>
          <w:trHeight w:val="207"/>
          <w:tblCellSpacing w:w="28" w:type="dxa"/>
          <w:jc w:val="center"/>
        </w:trPr>
        <w:tc>
          <w:tcPr>
            <w:tcW w:w="1050" w:type="dxa"/>
            <w:vMerge/>
            <w:shd w:val="clear" w:color="auto" w:fill="2E74B5" w:themeFill="accent5" w:themeFillShade="BF"/>
            <w:vAlign w:val="center"/>
          </w:tcPr>
          <w:p w:rsidR="00BA7B10" w:rsidRPr="00D94C70" w:rsidRDefault="00BA7B10" w:rsidP="00BA7B10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62" w:type="dxa"/>
            <w:shd w:val="clear" w:color="auto" w:fill="F2F2F2" w:themeFill="background1" w:themeFillShade="F2"/>
            <w:vAlign w:val="center"/>
          </w:tcPr>
          <w:p w:rsidR="00BA7B10" w:rsidRPr="00BA7B10" w:rsidRDefault="00BA7B10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BA7B10">
              <w:rPr>
                <w:rFonts w:ascii="微软雅黑" w:eastAsia="微软雅黑" w:hAnsi="微软雅黑" w:hint="eastAsia"/>
                <w:sz w:val="18"/>
                <w:szCs w:val="18"/>
              </w:rPr>
              <w:t>房费（含早餐）</w:t>
            </w:r>
          </w:p>
        </w:tc>
        <w:tc>
          <w:tcPr>
            <w:tcW w:w="2354" w:type="dxa"/>
            <w:shd w:val="clear" w:color="auto" w:fill="F2F2F2" w:themeFill="background1" w:themeFillShade="F2"/>
            <w:vAlign w:val="center"/>
          </w:tcPr>
          <w:p w:rsidR="00BA7B10" w:rsidRPr="00BA7B10" w:rsidRDefault="00160F71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7290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元</w:t>
            </w:r>
          </w:p>
        </w:tc>
        <w:tc>
          <w:tcPr>
            <w:tcW w:w="2495" w:type="dxa"/>
            <w:shd w:val="clear" w:color="auto" w:fill="F2F2F2" w:themeFill="background1" w:themeFillShade="F2"/>
            <w:vAlign w:val="center"/>
          </w:tcPr>
          <w:p w:rsidR="00BA7B10" w:rsidRPr="00BA7B10" w:rsidRDefault="00160F71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7920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元</w:t>
            </w:r>
          </w:p>
        </w:tc>
        <w:tc>
          <w:tcPr>
            <w:tcW w:w="2751" w:type="dxa"/>
            <w:shd w:val="clear" w:color="auto" w:fill="F2F2F2" w:themeFill="background1" w:themeFillShade="F2"/>
            <w:vAlign w:val="center"/>
          </w:tcPr>
          <w:p w:rsidR="00BA7B10" w:rsidRPr="00BA7B10" w:rsidRDefault="00160F71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9450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元</w:t>
            </w:r>
          </w:p>
        </w:tc>
      </w:tr>
      <w:tr w:rsidR="00BA7B10" w:rsidRPr="00D94C70" w:rsidTr="00BA7B10">
        <w:trPr>
          <w:trHeight w:val="207"/>
          <w:tblCellSpacing w:w="28" w:type="dxa"/>
          <w:jc w:val="center"/>
        </w:trPr>
        <w:tc>
          <w:tcPr>
            <w:tcW w:w="1050" w:type="dxa"/>
            <w:vMerge/>
            <w:shd w:val="clear" w:color="auto" w:fill="2E74B5" w:themeFill="accent5" w:themeFillShade="BF"/>
            <w:vAlign w:val="center"/>
          </w:tcPr>
          <w:p w:rsidR="00BA7B10" w:rsidRPr="00D94C70" w:rsidRDefault="00BA7B10" w:rsidP="00BA7B10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362" w:type="dxa"/>
            <w:shd w:val="clear" w:color="auto" w:fill="F2F2F2" w:themeFill="background1" w:themeFillShade="F2"/>
            <w:vAlign w:val="center"/>
          </w:tcPr>
          <w:p w:rsidR="00BA7B10" w:rsidRPr="00BA7B10" w:rsidRDefault="00BA7B10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BA7B10">
              <w:rPr>
                <w:rFonts w:ascii="微软雅黑" w:eastAsia="微软雅黑" w:hAnsi="微软雅黑" w:hint="eastAsia"/>
                <w:sz w:val="18"/>
                <w:szCs w:val="18"/>
              </w:rPr>
              <w:t>房费（含三餐）</w:t>
            </w:r>
          </w:p>
        </w:tc>
        <w:tc>
          <w:tcPr>
            <w:tcW w:w="2354" w:type="dxa"/>
            <w:shd w:val="clear" w:color="auto" w:fill="F2F2F2" w:themeFill="background1" w:themeFillShade="F2"/>
            <w:vAlign w:val="center"/>
          </w:tcPr>
          <w:p w:rsidR="00BA7B10" w:rsidRPr="00BA7B10" w:rsidRDefault="00160F71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10080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元</w:t>
            </w:r>
          </w:p>
        </w:tc>
        <w:tc>
          <w:tcPr>
            <w:tcW w:w="2495" w:type="dxa"/>
            <w:shd w:val="clear" w:color="auto" w:fill="F2F2F2" w:themeFill="background1" w:themeFillShade="F2"/>
            <w:vAlign w:val="center"/>
          </w:tcPr>
          <w:p w:rsidR="00BA7B10" w:rsidRPr="00BA7B10" w:rsidRDefault="00160F71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10800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元</w:t>
            </w:r>
          </w:p>
        </w:tc>
        <w:tc>
          <w:tcPr>
            <w:tcW w:w="2751" w:type="dxa"/>
            <w:shd w:val="clear" w:color="auto" w:fill="F2F2F2" w:themeFill="background1" w:themeFillShade="F2"/>
            <w:vAlign w:val="center"/>
          </w:tcPr>
          <w:p w:rsidR="00BA7B10" w:rsidRPr="00BA7B10" w:rsidRDefault="00160F71" w:rsidP="00BA7B10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/>
                <w:sz w:val="18"/>
                <w:szCs w:val="18"/>
              </w:rPr>
              <w:t>12330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元</w:t>
            </w:r>
          </w:p>
        </w:tc>
      </w:tr>
      <w:tr w:rsidR="006671B6" w:rsidRPr="00D94C70" w:rsidTr="006671B6">
        <w:trPr>
          <w:trHeight w:val="207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6671B6" w:rsidRPr="00D94C70" w:rsidRDefault="006671B6" w:rsidP="00BA7B10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牛津住宿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  <w:vAlign w:val="center"/>
          </w:tcPr>
          <w:p w:rsidR="006671B6" w:rsidRDefault="006671B6" w:rsidP="006671B6">
            <w:pPr>
              <w:jc w:val="both"/>
              <w:rPr>
                <w:rFonts w:ascii="微软雅黑" w:eastAsia="微软雅黑" w:hAnsi="微软雅黑"/>
                <w:sz w:val="18"/>
                <w:szCs w:val="18"/>
              </w:rPr>
            </w:pPr>
            <w:r w:rsidRPr="002C1A42">
              <w:rPr>
                <w:rFonts w:ascii="微软雅黑" w:eastAsia="微软雅黑" w:hAnsi="微软雅黑" w:hint="eastAsia"/>
                <w:sz w:val="18"/>
                <w:szCs w:val="18"/>
              </w:rPr>
              <w:t>8月5日-</w:t>
            </w:r>
            <w:r w:rsidRPr="002C1A42">
              <w:rPr>
                <w:rFonts w:ascii="微软雅黑" w:eastAsia="微软雅黑" w:hAnsi="微软雅黑"/>
                <w:sz w:val="18"/>
                <w:szCs w:val="18"/>
              </w:rPr>
              <w:t>8</w:t>
            </w:r>
            <w:r w:rsidRPr="002C1A42">
              <w:rPr>
                <w:rFonts w:ascii="微软雅黑" w:eastAsia="微软雅黑" w:hAnsi="微软雅黑" w:hint="eastAsia"/>
                <w:sz w:val="18"/>
                <w:szCs w:val="18"/>
              </w:rPr>
              <w:t>月1</w:t>
            </w:r>
            <w:r w:rsidRPr="002C1A42">
              <w:rPr>
                <w:rFonts w:ascii="微软雅黑" w:eastAsia="微软雅黑" w:hAnsi="微软雅黑"/>
                <w:sz w:val="18"/>
                <w:szCs w:val="18"/>
              </w:rPr>
              <w:t>2</w:t>
            </w:r>
            <w:r w:rsidRPr="002C1A42">
              <w:rPr>
                <w:rFonts w:ascii="微软雅黑" w:eastAsia="微软雅黑" w:hAnsi="微软雅黑" w:hint="eastAsia"/>
                <w:sz w:val="18"/>
                <w:szCs w:val="18"/>
              </w:rPr>
              <w:t>日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牛津大学访学期间住宿包含在项目费内，将优先安排入住牛津大学宿舍，如遇宿舍满员，则安排入住牛津大学附近酒店（酒店为双人标间）</w:t>
            </w:r>
          </w:p>
        </w:tc>
      </w:tr>
      <w:tr w:rsidR="00BA7B10" w:rsidRPr="00D94C70" w:rsidTr="00D94C70">
        <w:trPr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BA7B10" w:rsidRPr="00D94C70" w:rsidRDefault="00BA7B10" w:rsidP="00BA7B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  <w:t>保险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</w:tcPr>
          <w:p w:rsidR="00BA7B10" w:rsidRPr="00D94C70" w:rsidRDefault="00BA7B10" w:rsidP="00BA7B10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sz w:val="18"/>
                <w:szCs w:val="18"/>
              </w:rPr>
              <w:t>境外旅行险：项目组为每位学生购买全程境外旅行险</w:t>
            </w:r>
          </w:p>
        </w:tc>
      </w:tr>
      <w:tr w:rsidR="00BA7B10" w:rsidRPr="00D94C70" w:rsidTr="00D94C70">
        <w:trPr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BA7B10" w:rsidRPr="00D94C70" w:rsidRDefault="00BA7B10" w:rsidP="00BA7B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签证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</w:tcPr>
          <w:p w:rsidR="00BA7B10" w:rsidRPr="00D94C70" w:rsidRDefault="00BA7B10" w:rsidP="00BA7B10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学生提交所有项目申请材料后，由项目组协助办理英国短期留学签证</w:t>
            </w:r>
          </w:p>
        </w:tc>
      </w:tr>
      <w:tr w:rsidR="00BA7B10" w:rsidRPr="00D94C70" w:rsidTr="00D94C70">
        <w:trPr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BA7B10" w:rsidRPr="00D94C70" w:rsidRDefault="00BA7B10" w:rsidP="00BA7B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机票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</w:tcPr>
          <w:p w:rsidR="00BA7B10" w:rsidRPr="00D94C70" w:rsidRDefault="00BA7B10" w:rsidP="00BA7B10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由</w:t>
            </w:r>
            <w:r w:rsidRPr="00D94C70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项目组</w:t>
            </w:r>
            <w:r w:rsidRPr="00D94C70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统一预订机票</w:t>
            </w:r>
          </w:p>
        </w:tc>
      </w:tr>
      <w:tr w:rsidR="00BA7B10" w:rsidRPr="00D94C70" w:rsidTr="00D94C70">
        <w:trPr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BA7B10" w:rsidRPr="00D94C70" w:rsidRDefault="00BA7B10" w:rsidP="00BA7B10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lastRenderedPageBreak/>
              <w:t>餐食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</w:tcPr>
          <w:p w:rsidR="00BA7B10" w:rsidRPr="00D94C70" w:rsidRDefault="00BA7B10" w:rsidP="00BA7B10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校园位处伦敦，除校内餐厅外，也有众多学校周边</w:t>
            </w:r>
            <w:r w:rsidR="008B2EA9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餐厅</w:t>
            </w:r>
            <w:r w:rsidRPr="00D94C70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饭店可供选择。</w:t>
            </w:r>
          </w:p>
        </w:tc>
      </w:tr>
      <w:tr w:rsidR="00BA7B10" w:rsidRPr="00D94C70" w:rsidTr="00D42516">
        <w:trPr>
          <w:trHeight w:val="510"/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BA7B10" w:rsidRPr="00D94C70" w:rsidRDefault="00BA7B10" w:rsidP="00BA7B10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交通</w:t>
            </w:r>
          </w:p>
        </w:tc>
        <w:tc>
          <w:tcPr>
            <w:tcW w:w="9130" w:type="dxa"/>
            <w:gridSpan w:val="4"/>
            <w:shd w:val="clear" w:color="auto" w:fill="F2F2F2" w:themeFill="background1" w:themeFillShade="F2"/>
            <w:vAlign w:val="center"/>
          </w:tcPr>
          <w:p w:rsidR="00BA7B10" w:rsidRPr="00D94C70" w:rsidRDefault="00BA7B10" w:rsidP="00BA7B10">
            <w:pPr>
              <w:jc w:val="both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校园交通便利，学员可选择乘地铁、乘坐巴士或出租车车出行。</w:t>
            </w:r>
          </w:p>
        </w:tc>
      </w:tr>
    </w:tbl>
    <w:p w:rsidR="00EF5520" w:rsidRPr="00D94C70" w:rsidRDefault="00EF5520" w:rsidP="00D94C70">
      <w:pPr>
        <w:pStyle w:val="12"/>
      </w:pPr>
      <w:r w:rsidRPr="00D94C70">
        <w:rPr>
          <w:rFonts w:hint="eastAsia"/>
        </w:rPr>
        <w:t>申请信息</w:t>
      </w:r>
    </w:p>
    <w:tbl>
      <w:tblPr>
        <w:tblStyle w:val="a8"/>
        <w:tblW w:w="10348" w:type="dxa"/>
        <w:jc w:val="center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9214"/>
      </w:tblGrid>
      <w:tr w:rsidR="00AD6EC2" w:rsidRPr="00D94C70" w:rsidTr="00D94C70">
        <w:trPr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AD6EC2" w:rsidRPr="00D94C70" w:rsidRDefault="00AD6EC2" w:rsidP="00AD6EC2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 w:rsidRPr="00D94C70"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申请条件</w:t>
            </w:r>
          </w:p>
        </w:tc>
        <w:tc>
          <w:tcPr>
            <w:tcW w:w="9130" w:type="dxa"/>
            <w:shd w:val="clear" w:color="auto" w:fill="F2F2F2" w:themeFill="background1" w:themeFillShade="F2"/>
          </w:tcPr>
          <w:p w:rsidR="009F6C1E" w:rsidRPr="009F6C1E" w:rsidRDefault="00096213" w:rsidP="009F6C1E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在读大学本科生及研究生</w:t>
            </w:r>
          </w:p>
        </w:tc>
      </w:tr>
      <w:tr w:rsidR="003A2A7A" w:rsidRPr="00D94C70" w:rsidTr="00D94C70">
        <w:trPr>
          <w:tblCellSpacing w:w="28" w:type="dxa"/>
          <w:jc w:val="center"/>
        </w:trPr>
        <w:tc>
          <w:tcPr>
            <w:tcW w:w="1050" w:type="dxa"/>
            <w:shd w:val="clear" w:color="auto" w:fill="2E74B5" w:themeFill="accent5" w:themeFillShade="BF"/>
            <w:vAlign w:val="center"/>
          </w:tcPr>
          <w:p w:rsidR="003A2A7A" w:rsidRPr="00D94C70" w:rsidRDefault="003A2A7A" w:rsidP="00AD6EC2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color w:val="FFFFFF" w:themeColor="background1"/>
                <w:sz w:val="18"/>
                <w:szCs w:val="18"/>
              </w:rPr>
              <w:t>报名截止</w:t>
            </w:r>
          </w:p>
        </w:tc>
        <w:tc>
          <w:tcPr>
            <w:tcW w:w="9130" w:type="dxa"/>
            <w:shd w:val="clear" w:color="auto" w:fill="F2F2F2" w:themeFill="background1" w:themeFillShade="F2"/>
          </w:tcPr>
          <w:p w:rsidR="003A2A7A" w:rsidRDefault="003A2A7A" w:rsidP="009F6C1E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报名申请截止时间为2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018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年</w:t>
            </w:r>
            <w:r w:rsidR="00FC33EC">
              <w:rPr>
                <w:rFonts w:ascii="微软雅黑" w:eastAsia="微软雅黑" w:hAnsi="微软雅黑" w:hint="eastAsia"/>
                <w:sz w:val="18"/>
                <w:szCs w:val="18"/>
              </w:rPr>
              <w:t>5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月3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0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日</w:t>
            </w:r>
          </w:p>
        </w:tc>
      </w:tr>
    </w:tbl>
    <w:p w:rsidR="00D514B7" w:rsidRPr="00483900" w:rsidRDefault="00D514B7" w:rsidP="00D514B7"/>
    <w:p w:rsidR="00426AFD" w:rsidRDefault="00426AFD" w:rsidP="00D514B7">
      <w:bookmarkStart w:id="0" w:name="_GoBack"/>
      <w:bookmarkEnd w:id="0"/>
    </w:p>
    <w:p w:rsidR="00426AFD" w:rsidRDefault="00426AFD" w:rsidP="00D514B7"/>
    <w:p w:rsidR="00426AFD" w:rsidRDefault="00426AFD" w:rsidP="00D514B7"/>
    <w:p w:rsidR="00426AFD" w:rsidRDefault="00426AFD" w:rsidP="00D514B7"/>
    <w:p w:rsidR="00426AFD" w:rsidRDefault="00426AFD" w:rsidP="00D514B7"/>
    <w:p w:rsidR="00426AFD" w:rsidRDefault="00426AFD" w:rsidP="00D514B7"/>
    <w:p w:rsidR="00426AFD" w:rsidRDefault="00426AFD" w:rsidP="00D514B7"/>
    <w:p w:rsidR="00426AFD" w:rsidRDefault="00426AFD" w:rsidP="00D514B7"/>
    <w:p w:rsidR="00426AFD" w:rsidRDefault="00426AFD" w:rsidP="00D514B7"/>
    <w:p w:rsidR="00426AFD" w:rsidRDefault="00426AFD" w:rsidP="00D514B7"/>
    <w:p w:rsidR="00426AFD" w:rsidRDefault="00426AFD" w:rsidP="00D514B7"/>
    <w:p w:rsidR="00426AFD" w:rsidRDefault="00426AFD" w:rsidP="00D514B7"/>
    <w:p w:rsidR="00426AFD" w:rsidRDefault="00426AFD" w:rsidP="00D514B7"/>
    <w:p w:rsidR="00426AFD" w:rsidRPr="005658E8" w:rsidRDefault="00426AFD" w:rsidP="00D514B7"/>
    <w:sectPr w:rsidR="00426AFD" w:rsidRPr="005658E8" w:rsidSect="00527500">
      <w:pgSz w:w="11906" w:h="16838"/>
      <w:pgMar w:top="851" w:right="851" w:bottom="851" w:left="851" w:header="737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DA8" w:rsidRDefault="00572DA8" w:rsidP="00EF5520">
      <w:pPr>
        <w:spacing w:line="240" w:lineRule="auto"/>
      </w:pPr>
      <w:r>
        <w:separator/>
      </w:r>
    </w:p>
  </w:endnote>
  <w:endnote w:type="continuationSeparator" w:id="0">
    <w:p w:rsidR="00572DA8" w:rsidRDefault="00572DA8" w:rsidP="00EF55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altName w:val="Sylfaen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DA8" w:rsidRDefault="00572DA8" w:rsidP="00EF5520">
      <w:pPr>
        <w:spacing w:line="240" w:lineRule="auto"/>
      </w:pPr>
      <w:r>
        <w:separator/>
      </w:r>
    </w:p>
  </w:footnote>
  <w:footnote w:type="continuationSeparator" w:id="0">
    <w:p w:rsidR="00572DA8" w:rsidRDefault="00572DA8" w:rsidP="00EF55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D53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A4F8D"/>
    <w:multiLevelType w:val="multilevel"/>
    <w:tmpl w:val="727C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73536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E6471E"/>
    <w:multiLevelType w:val="hybridMultilevel"/>
    <w:tmpl w:val="4BD82A30"/>
    <w:lvl w:ilvl="0" w:tplc="2D1CDD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EA0329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251947"/>
    <w:multiLevelType w:val="multilevel"/>
    <w:tmpl w:val="727C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E6434"/>
    <w:multiLevelType w:val="hybridMultilevel"/>
    <w:tmpl w:val="6B66AF60"/>
    <w:lvl w:ilvl="0" w:tplc="7E82B4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68650B1"/>
    <w:multiLevelType w:val="multilevel"/>
    <w:tmpl w:val="727C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4F2A00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9C1960"/>
    <w:multiLevelType w:val="multilevel"/>
    <w:tmpl w:val="727C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D41C50"/>
    <w:multiLevelType w:val="hybridMultilevel"/>
    <w:tmpl w:val="8BD6FAB6"/>
    <w:lvl w:ilvl="0" w:tplc="6F3026F2">
      <w:start w:val="1"/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D853531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4C3C2B"/>
    <w:multiLevelType w:val="multilevel"/>
    <w:tmpl w:val="BF4E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9D6E9A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14E3B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F97056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1E7174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08235C"/>
    <w:multiLevelType w:val="hybridMultilevel"/>
    <w:tmpl w:val="2160A698"/>
    <w:lvl w:ilvl="0" w:tplc="DB26FBD8">
      <w:start w:val="2"/>
      <w:numFmt w:val="decimal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5E76DE7"/>
    <w:multiLevelType w:val="hybridMultilevel"/>
    <w:tmpl w:val="FC32A68E"/>
    <w:lvl w:ilvl="0" w:tplc="1B1A0938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0744363"/>
    <w:multiLevelType w:val="multilevel"/>
    <w:tmpl w:val="BF4E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07471B"/>
    <w:multiLevelType w:val="hybridMultilevel"/>
    <w:tmpl w:val="E9121018"/>
    <w:lvl w:ilvl="0" w:tplc="B1E4210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515C7E50"/>
    <w:multiLevelType w:val="multilevel"/>
    <w:tmpl w:val="727C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250724"/>
    <w:multiLevelType w:val="hybridMultilevel"/>
    <w:tmpl w:val="AF3E4A0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34B3950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C91B18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F3634B"/>
    <w:multiLevelType w:val="hybridMultilevel"/>
    <w:tmpl w:val="FCB40C2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47A5D18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36117A"/>
    <w:multiLevelType w:val="hybridMultilevel"/>
    <w:tmpl w:val="8B468676"/>
    <w:lvl w:ilvl="0" w:tplc="C9DEC4E4">
      <w:start w:val="5"/>
      <w:numFmt w:val="bullet"/>
      <w:lvlText w:val="-"/>
      <w:lvlJc w:val="left"/>
      <w:pPr>
        <w:ind w:left="420" w:hanging="42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BF72605"/>
    <w:multiLevelType w:val="hybridMultilevel"/>
    <w:tmpl w:val="7CB48C3C"/>
    <w:lvl w:ilvl="0" w:tplc="BCFA79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75C56F3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9714D4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C87927"/>
    <w:multiLevelType w:val="hybridMultilevel"/>
    <w:tmpl w:val="C0B804B8"/>
    <w:lvl w:ilvl="0" w:tplc="E0C8FB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7C80111A"/>
    <w:multiLevelType w:val="multilevel"/>
    <w:tmpl w:val="C842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6E771C"/>
    <w:multiLevelType w:val="hybridMultilevel"/>
    <w:tmpl w:val="99086F8E"/>
    <w:lvl w:ilvl="0" w:tplc="7F8242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7"/>
  </w:num>
  <w:num w:numId="2">
    <w:abstractNumId w:val="33"/>
  </w:num>
  <w:num w:numId="3">
    <w:abstractNumId w:val="25"/>
  </w:num>
  <w:num w:numId="4">
    <w:abstractNumId w:val="22"/>
  </w:num>
  <w:num w:numId="5">
    <w:abstractNumId w:val="3"/>
  </w:num>
  <w:num w:numId="6">
    <w:abstractNumId w:val="28"/>
  </w:num>
  <w:num w:numId="7">
    <w:abstractNumId w:val="17"/>
  </w:num>
  <w:num w:numId="8">
    <w:abstractNumId w:val="31"/>
  </w:num>
  <w:num w:numId="9">
    <w:abstractNumId w:val="18"/>
  </w:num>
  <w:num w:numId="10">
    <w:abstractNumId w:val="6"/>
  </w:num>
  <w:num w:numId="11">
    <w:abstractNumId w:val="9"/>
  </w:num>
  <w:num w:numId="12">
    <w:abstractNumId w:val="19"/>
  </w:num>
  <w:num w:numId="13">
    <w:abstractNumId w:val="23"/>
  </w:num>
  <w:num w:numId="14">
    <w:abstractNumId w:val="20"/>
  </w:num>
  <w:num w:numId="15">
    <w:abstractNumId w:val="12"/>
  </w:num>
  <w:num w:numId="16">
    <w:abstractNumId w:val="10"/>
  </w:num>
  <w:num w:numId="17">
    <w:abstractNumId w:val="21"/>
  </w:num>
  <w:num w:numId="18">
    <w:abstractNumId w:val="7"/>
  </w:num>
  <w:num w:numId="19">
    <w:abstractNumId w:val="5"/>
  </w:num>
  <w:num w:numId="20">
    <w:abstractNumId w:val="1"/>
  </w:num>
  <w:num w:numId="21">
    <w:abstractNumId w:val="11"/>
  </w:num>
  <w:num w:numId="22">
    <w:abstractNumId w:val="24"/>
  </w:num>
  <w:num w:numId="23">
    <w:abstractNumId w:val="29"/>
  </w:num>
  <w:num w:numId="24">
    <w:abstractNumId w:val="15"/>
  </w:num>
  <w:num w:numId="25">
    <w:abstractNumId w:val="0"/>
  </w:num>
  <w:num w:numId="26">
    <w:abstractNumId w:val="30"/>
  </w:num>
  <w:num w:numId="27">
    <w:abstractNumId w:val="26"/>
  </w:num>
  <w:num w:numId="28">
    <w:abstractNumId w:val="4"/>
  </w:num>
  <w:num w:numId="29">
    <w:abstractNumId w:val="16"/>
  </w:num>
  <w:num w:numId="30">
    <w:abstractNumId w:val="32"/>
  </w:num>
  <w:num w:numId="31">
    <w:abstractNumId w:val="2"/>
  </w:num>
  <w:num w:numId="32">
    <w:abstractNumId w:val="8"/>
  </w:num>
  <w:num w:numId="33">
    <w:abstractNumId w:val="13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B7C"/>
    <w:rsid w:val="00002485"/>
    <w:rsid w:val="00013B63"/>
    <w:rsid w:val="00013C70"/>
    <w:rsid w:val="00021870"/>
    <w:rsid w:val="000300AF"/>
    <w:rsid w:val="000508D4"/>
    <w:rsid w:val="00057190"/>
    <w:rsid w:val="0007136C"/>
    <w:rsid w:val="00096213"/>
    <w:rsid w:val="00096A11"/>
    <w:rsid w:val="000B0AE6"/>
    <w:rsid w:val="000B27D7"/>
    <w:rsid w:val="000B3F08"/>
    <w:rsid w:val="000B4CF0"/>
    <w:rsid w:val="000F4DAE"/>
    <w:rsid w:val="0010083C"/>
    <w:rsid w:val="00103149"/>
    <w:rsid w:val="00111819"/>
    <w:rsid w:val="001278B5"/>
    <w:rsid w:val="001370C8"/>
    <w:rsid w:val="00143BAC"/>
    <w:rsid w:val="00150455"/>
    <w:rsid w:val="00155882"/>
    <w:rsid w:val="00160F71"/>
    <w:rsid w:val="00164A7D"/>
    <w:rsid w:val="0016759D"/>
    <w:rsid w:val="00193B6D"/>
    <w:rsid w:val="00195148"/>
    <w:rsid w:val="001A4149"/>
    <w:rsid w:val="001C09B8"/>
    <w:rsid w:val="001D1B11"/>
    <w:rsid w:val="001D1DDF"/>
    <w:rsid w:val="001E591A"/>
    <w:rsid w:val="001F3B13"/>
    <w:rsid w:val="00213F24"/>
    <w:rsid w:val="00214D74"/>
    <w:rsid w:val="00235FC3"/>
    <w:rsid w:val="002377B2"/>
    <w:rsid w:val="00252149"/>
    <w:rsid w:val="00292D77"/>
    <w:rsid w:val="00294F96"/>
    <w:rsid w:val="002B23CB"/>
    <w:rsid w:val="002B4111"/>
    <w:rsid w:val="002B6119"/>
    <w:rsid w:val="002C1A42"/>
    <w:rsid w:val="003214D2"/>
    <w:rsid w:val="00332063"/>
    <w:rsid w:val="00345EBC"/>
    <w:rsid w:val="00382941"/>
    <w:rsid w:val="00387043"/>
    <w:rsid w:val="00390A0A"/>
    <w:rsid w:val="00392FF0"/>
    <w:rsid w:val="003A2A7A"/>
    <w:rsid w:val="003F12BC"/>
    <w:rsid w:val="003F2A6E"/>
    <w:rsid w:val="003F7822"/>
    <w:rsid w:val="00412E37"/>
    <w:rsid w:val="00426AFD"/>
    <w:rsid w:val="00457BD6"/>
    <w:rsid w:val="00467D0D"/>
    <w:rsid w:val="004753A7"/>
    <w:rsid w:val="00483900"/>
    <w:rsid w:val="0048716E"/>
    <w:rsid w:val="004B053D"/>
    <w:rsid w:val="004B5BB0"/>
    <w:rsid w:val="004D1FB7"/>
    <w:rsid w:val="004D558F"/>
    <w:rsid w:val="004E6DF3"/>
    <w:rsid w:val="00513D4D"/>
    <w:rsid w:val="0052458F"/>
    <w:rsid w:val="00525B80"/>
    <w:rsid w:val="00527500"/>
    <w:rsid w:val="0052774E"/>
    <w:rsid w:val="00557B87"/>
    <w:rsid w:val="00562931"/>
    <w:rsid w:val="00563523"/>
    <w:rsid w:val="005658E8"/>
    <w:rsid w:val="00570A54"/>
    <w:rsid w:val="005717CE"/>
    <w:rsid w:val="00572DA8"/>
    <w:rsid w:val="00575305"/>
    <w:rsid w:val="00577F07"/>
    <w:rsid w:val="00584015"/>
    <w:rsid w:val="005B62DA"/>
    <w:rsid w:val="005C4DE7"/>
    <w:rsid w:val="005C4E14"/>
    <w:rsid w:val="005C5084"/>
    <w:rsid w:val="005E6E53"/>
    <w:rsid w:val="00606C68"/>
    <w:rsid w:val="00663EAB"/>
    <w:rsid w:val="006671B6"/>
    <w:rsid w:val="00681868"/>
    <w:rsid w:val="0068547B"/>
    <w:rsid w:val="00691098"/>
    <w:rsid w:val="006B56CC"/>
    <w:rsid w:val="006D4FDA"/>
    <w:rsid w:val="006E19F0"/>
    <w:rsid w:val="006F79B5"/>
    <w:rsid w:val="0072410C"/>
    <w:rsid w:val="00735BCE"/>
    <w:rsid w:val="007720E4"/>
    <w:rsid w:val="00772FBD"/>
    <w:rsid w:val="00773C24"/>
    <w:rsid w:val="00774C34"/>
    <w:rsid w:val="0079666A"/>
    <w:rsid w:val="00796672"/>
    <w:rsid w:val="007C2A44"/>
    <w:rsid w:val="007C3EC3"/>
    <w:rsid w:val="007E1169"/>
    <w:rsid w:val="0080337A"/>
    <w:rsid w:val="00817E09"/>
    <w:rsid w:val="00821490"/>
    <w:rsid w:val="00835200"/>
    <w:rsid w:val="0084585E"/>
    <w:rsid w:val="008B2EA9"/>
    <w:rsid w:val="008C6E1A"/>
    <w:rsid w:val="008D0685"/>
    <w:rsid w:val="008E500C"/>
    <w:rsid w:val="008E51D1"/>
    <w:rsid w:val="008F2E75"/>
    <w:rsid w:val="00904702"/>
    <w:rsid w:val="009076C1"/>
    <w:rsid w:val="00915ED2"/>
    <w:rsid w:val="00916646"/>
    <w:rsid w:val="00926EEF"/>
    <w:rsid w:val="009448ED"/>
    <w:rsid w:val="009557E0"/>
    <w:rsid w:val="0098492F"/>
    <w:rsid w:val="00997715"/>
    <w:rsid w:val="009A6D7E"/>
    <w:rsid w:val="009F6A98"/>
    <w:rsid w:val="009F6C1E"/>
    <w:rsid w:val="00A30B1D"/>
    <w:rsid w:val="00A32F27"/>
    <w:rsid w:val="00A60026"/>
    <w:rsid w:val="00A638BB"/>
    <w:rsid w:val="00A65B7C"/>
    <w:rsid w:val="00A72CBE"/>
    <w:rsid w:val="00A96170"/>
    <w:rsid w:val="00AC28E4"/>
    <w:rsid w:val="00AC6079"/>
    <w:rsid w:val="00AD6EC2"/>
    <w:rsid w:val="00AD721C"/>
    <w:rsid w:val="00AE46AA"/>
    <w:rsid w:val="00B03769"/>
    <w:rsid w:val="00B13C00"/>
    <w:rsid w:val="00B3468E"/>
    <w:rsid w:val="00B4530D"/>
    <w:rsid w:val="00B73398"/>
    <w:rsid w:val="00B75EB2"/>
    <w:rsid w:val="00B77542"/>
    <w:rsid w:val="00B84A5B"/>
    <w:rsid w:val="00B87E77"/>
    <w:rsid w:val="00BA7B10"/>
    <w:rsid w:val="00BB535F"/>
    <w:rsid w:val="00BC7AFC"/>
    <w:rsid w:val="00BF2A7C"/>
    <w:rsid w:val="00C26BBE"/>
    <w:rsid w:val="00C46B7F"/>
    <w:rsid w:val="00C52857"/>
    <w:rsid w:val="00C60780"/>
    <w:rsid w:val="00C64408"/>
    <w:rsid w:val="00C64C34"/>
    <w:rsid w:val="00C65CFE"/>
    <w:rsid w:val="00C77DC1"/>
    <w:rsid w:val="00C90658"/>
    <w:rsid w:val="00C926C9"/>
    <w:rsid w:val="00CB3AF1"/>
    <w:rsid w:val="00CD1F64"/>
    <w:rsid w:val="00CD5F6B"/>
    <w:rsid w:val="00CE1374"/>
    <w:rsid w:val="00CF4F8F"/>
    <w:rsid w:val="00CF77FE"/>
    <w:rsid w:val="00D36491"/>
    <w:rsid w:val="00D42516"/>
    <w:rsid w:val="00D514B7"/>
    <w:rsid w:val="00D6197F"/>
    <w:rsid w:val="00D718C8"/>
    <w:rsid w:val="00D94C70"/>
    <w:rsid w:val="00DA3BF3"/>
    <w:rsid w:val="00DA52C8"/>
    <w:rsid w:val="00DE1F54"/>
    <w:rsid w:val="00DF2213"/>
    <w:rsid w:val="00DF30CD"/>
    <w:rsid w:val="00DF3AC5"/>
    <w:rsid w:val="00E058C4"/>
    <w:rsid w:val="00E179A2"/>
    <w:rsid w:val="00E23C96"/>
    <w:rsid w:val="00E247C7"/>
    <w:rsid w:val="00E325BB"/>
    <w:rsid w:val="00E43E09"/>
    <w:rsid w:val="00E61B45"/>
    <w:rsid w:val="00E86530"/>
    <w:rsid w:val="00EA3C0B"/>
    <w:rsid w:val="00EB413C"/>
    <w:rsid w:val="00EB44A4"/>
    <w:rsid w:val="00EB552D"/>
    <w:rsid w:val="00EC622F"/>
    <w:rsid w:val="00ED30FF"/>
    <w:rsid w:val="00ED69C4"/>
    <w:rsid w:val="00EE2356"/>
    <w:rsid w:val="00EF1BCC"/>
    <w:rsid w:val="00EF5520"/>
    <w:rsid w:val="00EF7A91"/>
    <w:rsid w:val="00F06213"/>
    <w:rsid w:val="00F23BA4"/>
    <w:rsid w:val="00F27320"/>
    <w:rsid w:val="00F33206"/>
    <w:rsid w:val="00F35533"/>
    <w:rsid w:val="00F419A5"/>
    <w:rsid w:val="00F42C77"/>
    <w:rsid w:val="00F645A2"/>
    <w:rsid w:val="00F80949"/>
    <w:rsid w:val="00F95477"/>
    <w:rsid w:val="00F96C4E"/>
    <w:rsid w:val="00FC33EC"/>
    <w:rsid w:val="00FE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072D0B"/>
  <w15:chartTrackingRefBased/>
  <w15:docId w15:val="{011FBABA-DAA5-4557-9FF6-CD46EED3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520"/>
    <w:pPr>
      <w:spacing w:line="276" w:lineRule="auto"/>
    </w:pPr>
    <w:rPr>
      <w:rFonts w:ascii="Arial" w:eastAsia="等线" w:hAnsi="Arial" w:cs="Arial"/>
      <w:color w:val="000000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426AFD"/>
    <w:pPr>
      <w:keepNext/>
      <w:keepLines/>
      <w:spacing w:before="340" w:after="330" w:line="578" w:lineRule="auto"/>
      <w:outlineLvl w:val="0"/>
    </w:pPr>
    <w:rPr>
      <w:rFonts w:ascii="Helvetica" w:eastAsia="Arial Unicode MS" w:hAnsi="Helvetica" w:cs="Arial Unicode MS"/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426AFD"/>
    <w:pPr>
      <w:keepNext/>
      <w:keepLines/>
      <w:spacing w:before="40" w:line="240" w:lineRule="auto"/>
      <w:outlineLvl w:val="1"/>
    </w:pPr>
    <w:rPr>
      <w:rFonts w:ascii="Helvetica" w:eastAsia="黑体" w:hAnsi="Helvetica" w:cs="Times New Roman"/>
      <w:color w:val="2F759E"/>
      <w:sz w:val="26"/>
      <w:szCs w:val="26"/>
      <w:lang w:val="zh-CN"/>
    </w:rPr>
  </w:style>
  <w:style w:type="paragraph" w:styleId="3">
    <w:name w:val="heading 3"/>
    <w:basedOn w:val="a"/>
    <w:next w:val="a"/>
    <w:link w:val="30"/>
    <w:uiPriority w:val="9"/>
    <w:qFormat/>
    <w:rsid w:val="00426AFD"/>
    <w:pPr>
      <w:widowControl w:val="0"/>
      <w:spacing w:line="240" w:lineRule="auto"/>
      <w:ind w:left="1020"/>
      <w:outlineLvl w:val="2"/>
    </w:pPr>
    <w:rPr>
      <w:rFonts w:eastAsia="Arial" w:cs="Times New Roman"/>
      <w:color w:val="auto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26AFD"/>
    <w:pPr>
      <w:keepNext/>
      <w:keepLines/>
      <w:spacing w:before="280" w:after="290" w:line="376" w:lineRule="auto"/>
      <w:outlineLvl w:val="3"/>
    </w:pPr>
    <w:rPr>
      <w:rFonts w:ascii="Helvetica" w:eastAsia="黑体" w:hAnsi="Helvetica" w:cs="Times New Roman"/>
      <w:b/>
      <w:bCs/>
      <w:sz w:val="28"/>
      <w:szCs w:val="28"/>
      <w:lang w:val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6AFD"/>
    <w:pPr>
      <w:keepNext/>
      <w:keepLines/>
      <w:spacing w:before="280" w:after="290" w:line="376" w:lineRule="auto"/>
      <w:outlineLvl w:val="4"/>
    </w:pPr>
    <w:rPr>
      <w:rFonts w:ascii="Helvetica" w:eastAsia="Arial Unicode MS" w:hAnsi="Helvetica" w:cs="Arial Unicode MS"/>
      <w:b/>
      <w:bCs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EF5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EF55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F55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F5520"/>
    <w:rPr>
      <w:sz w:val="18"/>
      <w:szCs w:val="18"/>
    </w:rPr>
  </w:style>
  <w:style w:type="paragraph" w:styleId="a7">
    <w:name w:val="List Paragraph"/>
    <w:basedOn w:val="a"/>
    <w:uiPriority w:val="34"/>
    <w:qFormat/>
    <w:rsid w:val="00EF5520"/>
    <w:pPr>
      <w:widowControl w:val="0"/>
      <w:spacing w:line="240" w:lineRule="auto"/>
      <w:ind w:firstLineChars="200" w:firstLine="420"/>
      <w:jc w:val="both"/>
    </w:pPr>
    <w:rPr>
      <w:rFonts w:ascii="Calibri" w:eastAsia="宋体" w:hAnsi="Calibri" w:cs="Times New Roman"/>
      <w:color w:val="auto"/>
      <w:kern w:val="2"/>
      <w:sz w:val="21"/>
    </w:rPr>
  </w:style>
  <w:style w:type="paragraph" w:customStyle="1" w:styleId="11">
    <w:name w:val="列出段落1"/>
    <w:basedOn w:val="a"/>
    <w:uiPriority w:val="34"/>
    <w:qFormat/>
    <w:rsid w:val="00EF5520"/>
    <w:pPr>
      <w:widowControl w:val="0"/>
      <w:spacing w:line="240" w:lineRule="auto"/>
      <w:ind w:firstLineChars="200" w:firstLine="420"/>
      <w:jc w:val="both"/>
    </w:pPr>
    <w:rPr>
      <w:rFonts w:ascii="Calibri" w:eastAsia="宋体" w:hAnsi="Calibri" w:cs="Times New Roman"/>
      <w:color w:val="auto"/>
      <w:kern w:val="2"/>
      <w:sz w:val="21"/>
    </w:rPr>
  </w:style>
  <w:style w:type="table" w:styleId="a8">
    <w:name w:val="Table Grid"/>
    <w:basedOn w:val="a1"/>
    <w:uiPriority w:val="39"/>
    <w:rsid w:val="00EF552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unhideWhenUsed/>
    <w:rsid w:val="00F80949"/>
    <w:pPr>
      <w:spacing w:line="240" w:lineRule="auto"/>
    </w:pPr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rsid w:val="00F80949"/>
    <w:rPr>
      <w:rFonts w:ascii="Arial" w:eastAsia="等线" w:hAnsi="Arial" w:cs="Arial"/>
      <w:color w:val="000000"/>
      <w:kern w:val="0"/>
      <w:sz w:val="18"/>
      <w:szCs w:val="18"/>
    </w:rPr>
  </w:style>
  <w:style w:type="character" w:styleId="ab">
    <w:name w:val="Hyperlink"/>
    <w:basedOn w:val="a0"/>
    <w:uiPriority w:val="99"/>
    <w:unhideWhenUsed/>
    <w:rsid w:val="005658E8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5658E8"/>
    <w:rPr>
      <w:color w:val="808080"/>
      <w:shd w:val="clear" w:color="auto" w:fill="E6E6E6"/>
    </w:rPr>
  </w:style>
  <w:style w:type="paragraph" w:customStyle="1" w:styleId="12">
    <w:name w:val="样式1"/>
    <w:basedOn w:val="a"/>
    <w:link w:val="13"/>
    <w:qFormat/>
    <w:rsid w:val="00D94C70"/>
    <w:pPr>
      <w:spacing w:line="240" w:lineRule="auto"/>
    </w:pPr>
    <w:rPr>
      <w:rFonts w:ascii="微软雅黑" w:eastAsia="微软雅黑" w:hAnsi="微软雅黑"/>
      <w:b/>
      <w:color w:val="2E74B5" w:themeColor="accent5" w:themeShade="BF"/>
      <w:sz w:val="24"/>
      <w:szCs w:val="24"/>
    </w:rPr>
  </w:style>
  <w:style w:type="character" w:customStyle="1" w:styleId="13">
    <w:name w:val="样式1 字符"/>
    <w:basedOn w:val="a0"/>
    <w:link w:val="12"/>
    <w:rsid w:val="00D94C70"/>
    <w:rPr>
      <w:rFonts w:ascii="微软雅黑" w:eastAsia="微软雅黑" w:hAnsi="微软雅黑" w:cs="Arial"/>
      <w:b/>
      <w:color w:val="2E74B5" w:themeColor="accent5" w:themeShade="BF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426AFD"/>
    <w:rPr>
      <w:rFonts w:ascii="Helvetica" w:eastAsia="Arial Unicode MS" w:hAnsi="Helvetica" w:cs="Arial Unicode MS"/>
      <w:b/>
      <w:bCs/>
      <w:color w:val="000000"/>
      <w:kern w:val="44"/>
      <w:sz w:val="44"/>
      <w:szCs w:val="44"/>
      <w:lang w:val="zh-CN"/>
    </w:rPr>
  </w:style>
  <w:style w:type="character" w:customStyle="1" w:styleId="20">
    <w:name w:val="标题 2 字符"/>
    <w:basedOn w:val="a0"/>
    <w:link w:val="2"/>
    <w:uiPriority w:val="9"/>
    <w:rsid w:val="00426AFD"/>
    <w:rPr>
      <w:rFonts w:ascii="Helvetica" w:eastAsia="黑体" w:hAnsi="Helvetica" w:cs="Times New Roman"/>
      <w:color w:val="2F759E"/>
      <w:kern w:val="0"/>
      <w:sz w:val="26"/>
      <w:szCs w:val="26"/>
      <w:lang w:val="zh-CN"/>
    </w:rPr>
  </w:style>
  <w:style w:type="character" w:customStyle="1" w:styleId="30">
    <w:name w:val="标题 3 字符"/>
    <w:basedOn w:val="a0"/>
    <w:link w:val="3"/>
    <w:uiPriority w:val="9"/>
    <w:qFormat/>
    <w:rsid w:val="00426AFD"/>
    <w:rPr>
      <w:rFonts w:ascii="Arial" w:eastAsia="Arial" w:hAnsi="Arial" w:cs="Times New Roman"/>
      <w:kern w:val="0"/>
      <w:sz w:val="24"/>
      <w:szCs w:val="24"/>
      <w:lang w:eastAsia="en-US"/>
    </w:rPr>
  </w:style>
  <w:style w:type="character" w:customStyle="1" w:styleId="40">
    <w:name w:val="标题 4 字符"/>
    <w:basedOn w:val="a0"/>
    <w:link w:val="4"/>
    <w:uiPriority w:val="9"/>
    <w:rsid w:val="00426AFD"/>
    <w:rPr>
      <w:rFonts w:ascii="Helvetica" w:eastAsia="黑体" w:hAnsi="Helvetica" w:cs="Times New Roman"/>
      <w:b/>
      <w:bCs/>
      <w:color w:val="000000"/>
      <w:kern w:val="0"/>
      <w:sz w:val="28"/>
      <w:szCs w:val="28"/>
      <w:lang w:val="zh-CN"/>
    </w:rPr>
  </w:style>
  <w:style w:type="character" w:customStyle="1" w:styleId="50">
    <w:name w:val="标题 5 字符"/>
    <w:basedOn w:val="a0"/>
    <w:link w:val="5"/>
    <w:uiPriority w:val="9"/>
    <w:semiHidden/>
    <w:rsid w:val="00426AFD"/>
    <w:rPr>
      <w:rFonts w:ascii="Helvetica" w:eastAsia="Arial Unicode MS" w:hAnsi="Helvetica" w:cs="Arial Unicode MS"/>
      <w:b/>
      <w:bCs/>
      <w:color w:val="000000"/>
      <w:kern w:val="0"/>
      <w:sz w:val="28"/>
      <w:szCs w:val="28"/>
      <w:lang w:val="zh-CN"/>
    </w:rPr>
  </w:style>
  <w:style w:type="numbering" w:customStyle="1" w:styleId="14">
    <w:name w:val="无列表1"/>
    <w:next w:val="a2"/>
    <w:uiPriority w:val="99"/>
    <w:semiHidden/>
    <w:unhideWhenUsed/>
    <w:rsid w:val="00426AFD"/>
  </w:style>
  <w:style w:type="paragraph" w:styleId="ad">
    <w:name w:val="Body Text"/>
    <w:basedOn w:val="a"/>
    <w:link w:val="ae"/>
    <w:uiPriority w:val="1"/>
    <w:qFormat/>
    <w:rsid w:val="00426AFD"/>
    <w:pPr>
      <w:widowControl w:val="0"/>
      <w:spacing w:line="240" w:lineRule="auto"/>
      <w:ind w:left="119"/>
    </w:pPr>
    <w:rPr>
      <w:rFonts w:eastAsia="Arial" w:cs="Times New Roman"/>
      <w:color w:val="auto"/>
      <w:sz w:val="19"/>
      <w:szCs w:val="19"/>
      <w:lang w:eastAsia="en-US"/>
    </w:rPr>
  </w:style>
  <w:style w:type="character" w:customStyle="1" w:styleId="ae">
    <w:name w:val="正文文本 字符"/>
    <w:basedOn w:val="a0"/>
    <w:link w:val="ad"/>
    <w:uiPriority w:val="1"/>
    <w:qFormat/>
    <w:rsid w:val="00426AFD"/>
    <w:rPr>
      <w:rFonts w:ascii="Arial" w:eastAsia="Arial" w:hAnsi="Arial" w:cs="Times New Roman"/>
      <w:kern w:val="0"/>
      <w:sz w:val="19"/>
      <w:szCs w:val="19"/>
      <w:lang w:eastAsia="en-US"/>
    </w:rPr>
  </w:style>
  <w:style w:type="paragraph" w:styleId="af">
    <w:name w:val="Normal (Web)"/>
    <w:basedOn w:val="a"/>
    <w:uiPriority w:val="99"/>
    <w:unhideWhenUsed/>
    <w:qFormat/>
    <w:rsid w:val="00426AFD"/>
    <w:pPr>
      <w:spacing w:before="100" w:beforeAutospacing="1" w:after="100" w:afterAutospacing="1" w:line="240" w:lineRule="auto"/>
    </w:pPr>
    <w:rPr>
      <w:rFonts w:ascii="宋体" w:eastAsia="宋体" w:hAnsi="宋体" w:cs="宋体"/>
      <w:color w:val="auto"/>
      <w:sz w:val="24"/>
      <w:szCs w:val="24"/>
    </w:rPr>
  </w:style>
  <w:style w:type="character" w:styleId="af0">
    <w:name w:val="Strong"/>
    <w:uiPriority w:val="22"/>
    <w:qFormat/>
    <w:rsid w:val="00426AFD"/>
    <w:rPr>
      <w:b/>
      <w:bCs/>
    </w:rPr>
  </w:style>
  <w:style w:type="table" w:customStyle="1" w:styleId="15">
    <w:name w:val="网格型1"/>
    <w:basedOn w:val="a1"/>
    <w:next w:val="a8"/>
    <w:uiPriority w:val="39"/>
    <w:qFormat/>
    <w:rsid w:val="00426AF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qFormat/>
    <w:rsid w:val="00426AFD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Emphasis"/>
    <w:uiPriority w:val="20"/>
    <w:qFormat/>
    <w:rsid w:val="00426AFD"/>
    <w:rPr>
      <w:i/>
      <w:iCs/>
    </w:rPr>
  </w:style>
  <w:style w:type="character" w:styleId="af2">
    <w:name w:val="FollowedHyperlink"/>
    <w:uiPriority w:val="99"/>
    <w:semiHidden/>
    <w:unhideWhenUsed/>
    <w:rsid w:val="00426AFD"/>
    <w:rPr>
      <w:color w:val="FF00FF"/>
      <w:u w:val="single"/>
    </w:rPr>
  </w:style>
  <w:style w:type="character" w:styleId="af3">
    <w:name w:val="annotation reference"/>
    <w:uiPriority w:val="99"/>
    <w:semiHidden/>
    <w:unhideWhenUsed/>
    <w:rsid w:val="00426AFD"/>
    <w:rPr>
      <w:sz w:val="21"/>
      <w:szCs w:val="21"/>
    </w:rPr>
  </w:style>
  <w:style w:type="paragraph" w:styleId="af4">
    <w:name w:val="annotation text"/>
    <w:basedOn w:val="a"/>
    <w:link w:val="af5"/>
    <w:uiPriority w:val="99"/>
    <w:semiHidden/>
    <w:unhideWhenUsed/>
    <w:rsid w:val="00426AFD"/>
    <w:pPr>
      <w:spacing w:line="240" w:lineRule="auto"/>
    </w:pPr>
    <w:rPr>
      <w:rFonts w:ascii="Helvetica" w:eastAsia="Arial Unicode MS" w:hAnsi="Helvetica" w:cs="Arial Unicode MS"/>
      <w:lang w:val="zh-CN"/>
    </w:rPr>
  </w:style>
  <w:style w:type="character" w:customStyle="1" w:styleId="af5">
    <w:name w:val="批注文字 字符"/>
    <w:basedOn w:val="a0"/>
    <w:link w:val="af4"/>
    <w:uiPriority w:val="99"/>
    <w:semiHidden/>
    <w:rsid w:val="00426AFD"/>
    <w:rPr>
      <w:rFonts w:ascii="Helvetica" w:eastAsia="Arial Unicode MS" w:hAnsi="Helvetica" w:cs="Arial Unicode MS"/>
      <w:color w:val="000000"/>
      <w:kern w:val="0"/>
      <w:sz w:val="22"/>
      <w:lang w:val="zh-C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26AFD"/>
    <w:rPr>
      <w:b/>
      <w:bCs/>
    </w:rPr>
  </w:style>
  <w:style w:type="character" w:customStyle="1" w:styleId="af7">
    <w:name w:val="批注主题 字符"/>
    <w:basedOn w:val="af5"/>
    <w:link w:val="af6"/>
    <w:uiPriority w:val="99"/>
    <w:semiHidden/>
    <w:rsid w:val="00426AFD"/>
    <w:rPr>
      <w:rFonts w:ascii="Helvetica" w:eastAsia="Arial Unicode MS" w:hAnsi="Helvetica" w:cs="Arial Unicode MS"/>
      <w:b/>
      <w:bCs/>
      <w:color w:val="000000"/>
      <w:kern w:val="0"/>
      <w:sz w:val="22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1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01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2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licai</dc:creator>
  <cp:keywords/>
  <dc:description/>
  <cp:lastModifiedBy>王忠汉</cp:lastModifiedBy>
  <cp:revision>46</cp:revision>
  <cp:lastPrinted>2018-03-26T07:10:00Z</cp:lastPrinted>
  <dcterms:created xsi:type="dcterms:W3CDTF">2018-03-26T06:39:00Z</dcterms:created>
  <dcterms:modified xsi:type="dcterms:W3CDTF">2018-04-04T04:39:00Z</dcterms:modified>
</cp:coreProperties>
</file>